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4428">
      <w:pPr>
        <w:autoSpaceDE w:val="0"/>
        <w:autoSpaceDN w:val="0"/>
        <w:adjustRightInd w:val="0"/>
        <w:snapToGrid w:val="0"/>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浙江省二轻集团有限责任公司</w:t>
      </w:r>
    </w:p>
    <w:p w14:paraId="22AF45D4">
      <w:pPr>
        <w:autoSpaceDE w:val="0"/>
        <w:autoSpaceDN w:val="0"/>
        <w:adjustRightInd w:val="0"/>
        <w:snapToGrid w:val="0"/>
        <w:spacing w:line="360" w:lineRule="auto"/>
        <w:jc w:val="center"/>
        <w:rPr>
          <w:rFonts w:hint="eastAsia" w:ascii="宋体" w:hAnsi="宋体" w:cs="宋体"/>
          <w:b/>
          <w:sz w:val="36"/>
          <w:szCs w:val="36"/>
        </w:rPr>
      </w:pPr>
      <w:r>
        <w:rPr>
          <w:rFonts w:hint="eastAsia" w:ascii="宋体" w:hAnsi="宋体" w:cs="宋体"/>
          <w:b/>
          <w:sz w:val="44"/>
          <w:szCs w:val="44"/>
        </w:rPr>
        <w:t>司库管理系统建设项目</w:t>
      </w:r>
      <w:r>
        <w:rPr>
          <w:rFonts w:hint="eastAsia" w:ascii="宋体" w:hAnsi="宋体" w:cs="宋体"/>
          <w:b/>
          <w:sz w:val="36"/>
          <w:szCs w:val="36"/>
        </w:rPr>
        <w:t xml:space="preserve">  </w:t>
      </w:r>
    </w:p>
    <w:p w14:paraId="261A089B">
      <w:pPr>
        <w:tabs>
          <w:tab w:val="left" w:pos="0"/>
        </w:tabs>
        <w:adjustRightInd w:val="0"/>
        <w:snapToGrid w:val="0"/>
        <w:spacing w:line="360" w:lineRule="auto"/>
        <w:ind w:firstLine="201" w:firstLineChars="20"/>
        <w:jc w:val="center"/>
        <w:rPr>
          <w:rFonts w:hint="eastAsia" w:ascii="宋体" w:hAnsi="宋体" w:cs="宋体"/>
          <w:b/>
          <w:sz w:val="100"/>
          <w:szCs w:val="100"/>
        </w:rPr>
      </w:pPr>
      <w:r>
        <w:rPr>
          <w:rFonts w:hint="eastAsia" w:ascii="宋体" w:hAnsi="宋体" w:cs="宋体"/>
          <w:b/>
          <w:sz w:val="100"/>
          <w:szCs w:val="100"/>
        </w:rPr>
        <w:t>招标文件</w:t>
      </w:r>
    </w:p>
    <w:p w14:paraId="16337DCF">
      <w:pPr>
        <w:adjustRightInd w:val="0"/>
        <w:snapToGrid w:val="0"/>
        <w:spacing w:line="360" w:lineRule="auto"/>
        <w:jc w:val="center"/>
        <w:rPr>
          <w:rFonts w:hint="eastAsia" w:ascii="宋体" w:hAnsi="宋体" w:cs="宋体"/>
          <w:b/>
          <w:sz w:val="30"/>
          <w:szCs w:val="30"/>
        </w:rPr>
      </w:pPr>
      <w:r>
        <w:rPr>
          <w:rFonts w:hint="eastAsia" w:ascii="宋体" w:hAnsi="宋体" w:cs="宋体"/>
          <w:b/>
          <w:sz w:val="36"/>
        </w:rPr>
        <w:drawing>
          <wp:inline distT="0" distB="0" distL="114300" distR="114300">
            <wp:extent cx="1778000" cy="1530350"/>
            <wp:effectExtent l="0" t="0" r="12700" b="12700"/>
            <wp:docPr id="1" name="图片 2" descr="说明: 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CTLOGO"/>
                    <pic:cNvPicPr>
                      <a:picLocks noChangeAspect="1"/>
                    </pic:cNvPicPr>
                  </pic:nvPicPr>
                  <pic:blipFill>
                    <a:blip r:embed="rId11"/>
                    <a:stretch>
                      <a:fillRect/>
                    </a:stretch>
                  </pic:blipFill>
                  <pic:spPr>
                    <a:xfrm>
                      <a:off x="0" y="0"/>
                      <a:ext cx="1778000" cy="1530350"/>
                    </a:xfrm>
                    <a:prstGeom prst="rect">
                      <a:avLst/>
                    </a:prstGeom>
                    <a:noFill/>
                    <a:ln>
                      <a:noFill/>
                    </a:ln>
                  </pic:spPr>
                </pic:pic>
              </a:graphicData>
            </a:graphic>
          </wp:inline>
        </w:drawing>
      </w:r>
    </w:p>
    <w:p w14:paraId="2B825BF3">
      <w:pPr>
        <w:spacing w:line="360" w:lineRule="auto"/>
        <w:jc w:val="center"/>
      </w:pPr>
      <w:r>
        <w:rPr>
          <w:rFonts w:hint="eastAsia" w:ascii="仿宋" w:hAnsi="仿宋" w:eastAsia="仿宋" w:cs="仿宋"/>
          <w:b/>
          <w:color w:val="000000" w:themeColor="text1"/>
          <w:sz w:val="44"/>
          <w:szCs w:val="44"/>
          <w14:textFill>
            <w14:solidFill>
              <w14:schemeClr w14:val="tx1"/>
            </w14:solidFill>
          </w14:textFill>
        </w:rPr>
        <w:t>（电子招投标）</w:t>
      </w:r>
    </w:p>
    <w:p w14:paraId="769400AE">
      <w:pPr>
        <w:adjustRightInd w:val="0"/>
        <w:snapToGrid w:val="0"/>
        <w:spacing w:line="360" w:lineRule="auto"/>
        <w:ind w:firstLine="1795" w:firstLineChars="596"/>
        <w:rPr>
          <w:rFonts w:hint="eastAsia" w:ascii="宋体" w:hAnsi="宋体" w:cs="宋体"/>
          <w:b/>
          <w:bCs/>
          <w:sz w:val="30"/>
          <w:szCs w:val="30"/>
        </w:rPr>
      </w:pPr>
    </w:p>
    <w:p w14:paraId="555B9E5E">
      <w:pPr>
        <w:adjustRightInd w:val="0"/>
        <w:snapToGrid w:val="0"/>
        <w:spacing w:line="360" w:lineRule="auto"/>
        <w:ind w:firstLine="1795" w:firstLineChars="596"/>
        <w:rPr>
          <w:rFonts w:hint="eastAsia" w:ascii="宋体" w:hAnsi="宋体" w:cs="宋体"/>
          <w:b/>
          <w:bCs/>
          <w:sz w:val="30"/>
          <w:szCs w:val="30"/>
        </w:rPr>
      </w:pPr>
      <w:r>
        <w:rPr>
          <w:rFonts w:hint="eastAsia" w:ascii="宋体" w:hAnsi="宋体" w:cs="宋体"/>
          <w:b/>
          <w:bCs/>
          <w:sz w:val="30"/>
          <w:szCs w:val="30"/>
        </w:rPr>
        <w:t>招标方式：公开招标</w:t>
      </w:r>
    </w:p>
    <w:p w14:paraId="65C2EA75">
      <w:pPr>
        <w:adjustRightInd w:val="0"/>
        <w:snapToGrid w:val="0"/>
        <w:spacing w:line="360" w:lineRule="auto"/>
        <w:ind w:firstLine="1795" w:firstLineChars="596"/>
        <w:rPr>
          <w:rFonts w:hint="eastAsia" w:ascii="宋体" w:hAnsi="宋体" w:eastAsia="宋体" w:cs="宋体"/>
          <w:b/>
          <w:bCs/>
          <w:sz w:val="30"/>
          <w:szCs w:val="30"/>
          <w:lang w:eastAsia="zh-CN"/>
        </w:rPr>
      </w:pPr>
      <w:r>
        <w:rPr>
          <w:rFonts w:hint="eastAsia" w:ascii="宋体" w:hAnsi="宋体" w:cs="宋体"/>
          <w:b/>
          <w:bCs/>
          <w:sz w:val="30"/>
          <w:szCs w:val="30"/>
        </w:rPr>
        <w:t>项目编号：</w:t>
      </w:r>
      <w:r>
        <w:rPr>
          <w:rFonts w:hint="eastAsia" w:ascii="宋体" w:hAnsi="宋体" w:cs="宋体"/>
          <w:b/>
          <w:bCs/>
          <w:sz w:val="30"/>
          <w:szCs w:val="30"/>
          <w:lang w:eastAsia="zh-CN"/>
        </w:rPr>
        <w:t>CTZB-2025080378</w:t>
      </w:r>
    </w:p>
    <w:p w14:paraId="49BD38EB">
      <w:pPr>
        <w:adjustRightInd w:val="0"/>
        <w:snapToGrid w:val="0"/>
        <w:spacing w:line="360" w:lineRule="auto"/>
        <w:rPr>
          <w:rFonts w:hint="eastAsia" w:ascii="宋体" w:hAnsi="宋体" w:cs="宋体"/>
          <w:b/>
          <w:bCs/>
          <w:sz w:val="30"/>
          <w:szCs w:val="30"/>
        </w:rPr>
      </w:pPr>
    </w:p>
    <w:tbl>
      <w:tblPr>
        <w:tblStyle w:val="44"/>
        <w:tblW w:w="0" w:type="auto"/>
        <w:jc w:val="center"/>
        <w:tblLayout w:type="fixed"/>
        <w:tblCellMar>
          <w:top w:w="0" w:type="dxa"/>
          <w:left w:w="108" w:type="dxa"/>
          <w:bottom w:w="0" w:type="dxa"/>
          <w:right w:w="108" w:type="dxa"/>
        </w:tblCellMar>
      </w:tblPr>
      <w:tblGrid>
        <w:gridCol w:w="2265"/>
        <w:gridCol w:w="4893"/>
      </w:tblGrid>
      <w:tr w14:paraId="7D837FF6">
        <w:tblPrEx>
          <w:tblCellMar>
            <w:top w:w="0" w:type="dxa"/>
            <w:left w:w="108" w:type="dxa"/>
            <w:bottom w:w="0" w:type="dxa"/>
            <w:right w:w="108" w:type="dxa"/>
          </w:tblCellMar>
        </w:tblPrEx>
        <w:trPr>
          <w:trHeight w:val="508" w:hRule="atLeast"/>
          <w:jc w:val="center"/>
        </w:trPr>
        <w:tc>
          <w:tcPr>
            <w:tcW w:w="2265" w:type="dxa"/>
            <w:vAlign w:val="center"/>
          </w:tcPr>
          <w:p w14:paraId="5AFBDE00">
            <w:pPr>
              <w:adjustRightInd w:val="0"/>
              <w:snapToGrid w:val="0"/>
              <w:spacing w:line="360" w:lineRule="auto"/>
              <w:jc w:val="distribute"/>
              <w:rPr>
                <w:rFonts w:hint="eastAsia" w:ascii="宋体" w:hAnsi="宋体" w:cs="宋体"/>
                <w:b/>
                <w:sz w:val="30"/>
                <w:szCs w:val="30"/>
              </w:rPr>
            </w:pPr>
            <w:r>
              <w:rPr>
                <w:rFonts w:hint="eastAsia" w:ascii="宋体" w:hAnsi="宋体" w:cs="宋体"/>
                <w:b/>
                <w:sz w:val="30"/>
                <w:szCs w:val="30"/>
              </w:rPr>
              <w:t>招  标  人：</w:t>
            </w:r>
          </w:p>
        </w:tc>
        <w:tc>
          <w:tcPr>
            <w:tcW w:w="4893" w:type="dxa"/>
            <w:vAlign w:val="center"/>
          </w:tcPr>
          <w:p w14:paraId="51A3F2EA">
            <w:pPr>
              <w:adjustRightInd w:val="0"/>
              <w:snapToGrid w:val="0"/>
              <w:spacing w:line="360" w:lineRule="auto"/>
              <w:jc w:val="left"/>
              <w:rPr>
                <w:rFonts w:hint="eastAsia" w:ascii="宋体" w:hAnsi="宋体" w:cs="宋体"/>
                <w:b/>
                <w:sz w:val="30"/>
                <w:szCs w:val="30"/>
              </w:rPr>
            </w:pPr>
            <w:r>
              <w:rPr>
                <w:rFonts w:hint="eastAsia" w:ascii="宋体" w:hAnsi="宋体" w:cs="宋体"/>
                <w:b/>
                <w:sz w:val="30"/>
                <w:szCs w:val="30"/>
              </w:rPr>
              <w:t>浙江省二轻集团有限责任公司</w:t>
            </w:r>
          </w:p>
        </w:tc>
      </w:tr>
      <w:tr w14:paraId="556F832F">
        <w:tblPrEx>
          <w:tblCellMar>
            <w:top w:w="0" w:type="dxa"/>
            <w:left w:w="108" w:type="dxa"/>
            <w:bottom w:w="0" w:type="dxa"/>
            <w:right w:w="108" w:type="dxa"/>
          </w:tblCellMar>
        </w:tblPrEx>
        <w:trPr>
          <w:jc w:val="center"/>
        </w:trPr>
        <w:tc>
          <w:tcPr>
            <w:tcW w:w="2265" w:type="dxa"/>
            <w:vAlign w:val="center"/>
          </w:tcPr>
          <w:p w14:paraId="4D105740">
            <w:pPr>
              <w:adjustRightInd w:val="0"/>
              <w:snapToGrid w:val="0"/>
              <w:spacing w:line="360" w:lineRule="auto"/>
              <w:jc w:val="distribute"/>
              <w:rPr>
                <w:rFonts w:hint="eastAsia" w:ascii="宋体" w:hAnsi="宋体" w:cs="宋体"/>
                <w:b/>
                <w:bCs/>
                <w:sz w:val="30"/>
                <w:szCs w:val="30"/>
              </w:rPr>
            </w:pPr>
            <w:r>
              <w:rPr>
                <w:rFonts w:hint="eastAsia" w:ascii="宋体" w:hAnsi="宋体" w:cs="宋体"/>
                <w:b/>
                <w:sz w:val="30"/>
                <w:szCs w:val="30"/>
              </w:rPr>
              <w:t>招标代理机构：</w:t>
            </w:r>
          </w:p>
        </w:tc>
        <w:tc>
          <w:tcPr>
            <w:tcW w:w="4893" w:type="dxa"/>
            <w:vAlign w:val="center"/>
          </w:tcPr>
          <w:p w14:paraId="77F5CFBF">
            <w:pPr>
              <w:adjustRightInd w:val="0"/>
              <w:snapToGrid w:val="0"/>
              <w:spacing w:line="360" w:lineRule="auto"/>
              <w:jc w:val="left"/>
              <w:rPr>
                <w:rFonts w:hint="eastAsia" w:ascii="宋体" w:hAnsi="宋体" w:cs="宋体"/>
                <w:b/>
                <w:bCs/>
                <w:sz w:val="30"/>
                <w:szCs w:val="30"/>
              </w:rPr>
            </w:pPr>
            <w:r>
              <w:rPr>
                <w:rFonts w:hint="eastAsia" w:ascii="宋体" w:hAnsi="宋体" w:cs="宋体"/>
                <w:b/>
                <w:sz w:val="30"/>
                <w:szCs w:val="30"/>
              </w:rPr>
              <w:t>浙江省成套招标代理有限公司</w:t>
            </w:r>
          </w:p>
        </w:tc>
      </w:tr>
      <w:tr w14:paraId="3D7F66C2">
        <w:tblPrEx>
          <w:tblCellMar>
            <w:top w:w="0" w:type="dxa"/>
            <w:left w:w="108" w:type="dxa"/>
            <w:bottom w:w="0" w:type="dxa"/>
            <w:right w:w="108" w:type="dxa"/>
          </w:tblCellMar>
        </w:tblPrEx>
        <w:trPr>
          <w:jc w:val="center"/>
        </w:trPr>
        <w:tc>
          <w:tcPr>
            <w:tcW w:w="7158" w:type="dxa"/>
            <w:gridSpan w:val="2"/>
            <w:vAlign w:val="center"/>
          </w:tcPr>
          <w:p w14:paraId="35F78A15">
            <w:pPr>
              <w:adjustRightInd w:val="0"/>
              <w:snapToGrid w:val="0"/>
              <w:spacing w:line="360" w:lineRule="auto"/>
              <w:jc w:val="left"/>
              <w:rPr>
                <w:rFonts w:hint="eastAsia" w:ascii="宋体" w:hAnsi="宋体" w:cs="宋体"/>
                <w:b/>
                <w:sz w:val="30"/>
                <w:szCs w:val="30"/>
              </w:rPr>
            </w:pPr>
            <w:r>
              <w:rPr>
                <w:rFonts w:hint="eastAsia" w:ascii="宋体" w:hAnsi="宋体" w:cs="宋体"/>
                <w:b/>
                <w:sz w:val="30"/>
                <w:szCs w:val="30"/>
              </w:rPr>
              <w:t>日        期： 二〇二五年八月</w:t>
            </w:r>
          </w:p>
        </w:tc>
      </w:tr>
    </w:tbl>
    <w:p w14:paraId="01221F53">
      <w:pPr>
        <w:spacing w:line="360" w:lineRule="auto"/>
        <w:rPr>
          <w:rFonts w:hint="eastAsia" w:ascii="宋体" w:hAnsi="宋体" w:cs="宋体"/>
          <w:sz w:val="28"/>
          <w:szCs w:val="28"/>
        </w:rPr>
      </w:pPr>
    </w:p>
    <w:p w14:paraId="2AD871D9">
      <w:pPr>
        <w:spacing w:line="360" w:lineRule="auto"/>
        <w:rPr>
          <w:rFonts w:hint="eastAsia" w:ascii="宋体" w:hAnsi="宋体" w:cs="宋体"/>
        </w:rPr>
      </w:pPr>
      <w:r>
        <w:rPr>
          <w:rFonts w:hint="eastAsia" w:ascii="宋体" w:hAnsi="宋体" w:cs="宋体"/>
          <w:sz w:val="28"/>
          <w:szCs w:val="28"/>
        </w:rPr>
        <w:br w:type="page"/>
      </w:r>
    </w:p>
    <w:p w14:paraId="66D28182">
      <w:pPr>
        <w:snapToGrid w:val="0"/>
        <w:spacing w:line="360" w:lineRule="auto"/>
        <w:jc w:val="center"/>
        <w:rPr>
          <w:rFonts w:hint="eastAsia" w:ascii="宋体" w:hAnsi="宋体" w:cs="宋体"/>
          <w:b/>
          <w:bCs/>
          <w:sz w:val="44"/>
          <w:szCs w:val="44"/>
        </w:rPr>
      </w:pPr>
      <w:r>
        <w:rPr>
          <w:rFonts w:hint="eastAsia" w:ascii="宋体" w:hAnsi="宋体" w:cs="宋体"/>
          <w:b/>
          <w:bCs/>
          <w:sz w:val="44"/>
          <w:szCs w:val="44"/>
        </w:rPr>
        <w:t>目录</w:t>
      </w:r>
    </w:p>
    <w:p w14:paraId="376E8206">
      <w:pPr>
        <w:pStyle w:val="27"/>
        <w:tabs>
          <w:tab w:val="right" w:leader="dot" w:pos="9185"/>
          <w:tab w:val="clear" w:pos="9403"/>
        </w:tabs>
      </w:pPr>
      <w:r>
        <w:rPr>
          <w:rFonts w:hint="eastAsia" w:ascii="宋体" w:hAnsi="宋体" w:cs="宋体"/>
          <w:b w:val="0"/>
          <w:bCs w:val="0"/>
          <w:caps w:val="0"/>
          <w:sz w:val="24"/>
        </w:rPr>
        <w:fldChar w:fldCharType="begin"/>
      </w:r>
      <w:r>
        <w:rPr>
          <w:rFonts w:hint="eastAsia" w:ascii="宋体" w:hAnsi="宋体" w:cs="宋体"/>
          <w:b w:val="0"/>
          <w:bCs w:val="0"/>
          <w:caps w:val="0"/>
          <w:sz w:val="24"/>
        </w:rPr>
        <w:instrText xml:space="preserve"> TOC \o "1-1" \h \z </w:instrText>
      </w:r>
      <w:r>
        <w:rPr>
          <w:rFonts w:hint="eastAsia" w:ascii="宋体" w:hAnsi="宋体" w:cs="宋体"/>
          <w:b w:val="0"/>
          <w:bCs w:val="0"/>
          <w:caps w:val="0"/>
          <w:sz w:val="24"/>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_Toc28605 </w:instrText>
      </w:r>
      <w:r>
        <w:rPr>
          <w:rFonts w:hint="eastAsia" w:ascii="宋体" w:hAnsi="宋体" w:cs="宋体"/>
          <w:bCs w:val="0"/>
          <w:caps w:val="0"/>
        </w:rPr>
        <w:fldChar w:fldCharType="separate"/>
      </w:r>
      <w:r>
        <w:rPr>
          <w:rFonts w:hint="eastAsia" w:ascii="宋体" w:hAnsi="宋体" w:cs="宋体"/>
        </w:rPr>
        <w:t>第一章  招标公告</w:t>
      </w:r>
      <w:r>
        <w:tab/>
      </w:r>
      <w:r>
        <w:fldChar w:fldCharType="begin"/>
      </w:r>
      <w:r>
        <w:instrText xml:space="preserve"> PAGEREF _Toc28605 \h </w:instrText>
      </w:r>
      <w:r>
        <w:fldChar w:fldCharType="separate"/>
      </w:r>
      <w:r>
        <w:t>3</w:t>
      </w:r>
      <w:r>
        <w:fldChar w:fldCharType="end"/>
      </w:r>
      <w:r>
        <w:rPr>
          <w:rFonts w:hint="eastAsia" w:ascii="宋体" w:hAnsi="宋体" w:cs="宋体"/>
          <w:bCs w:val="0"/>
          <w:caps w:val="0"/>
        </w:rPr>
        <w:fldChar w:fldCharType="end"/>
      </w:r>
    </w:p>
    <w:p w14:paraId="6404001B">
      <w:pPr>
        <w:pStyle w:val="27"/>
        <w:tabs>
          <w:tab w:val="right" w:leader="dot" w:pos="9185"/>
          <w:tab w:val="clear" w:pos="9403"/>
        </w:tabs>
      </w:pPr>
      <w:r>
        <w:rPr>
          <w:rFonts w:hint="eastAsia" w:ascii="宋体" w:hAnsi="宋体" w:cs="宋体"/>
          <w:bCs/>
          <w:caps/>
        </w:rPr>
        <w:fldChar w:fldCharType="begin"/>
      </w:r>
      <w:r>
        <w:rPr>
          <w:rFonts w:hint="eastAsia" w:ascii="宋体" w:hAnsi="宋体" w:cs="宋体"/>
          <w:bCs/>
          <w:caps/>
        </w:rPr>
        <w:instrText xml:space="preserve"> HYPERLINK \l _Toc7362 </w:instrText>
      </w:r>
      <w:r>
        <w:rPr>
          <w:rFonts w:hint="eastAsia" w:ascii="宋体" w:hAnsi="宋体" w:cs="宋体"/>
          <w:bCs/>
          <w:caps/>
        </w:rPr>
        <w:fldChar w:fldCharType="separate"/>
      </w:r>
      <w:r>
        <w:rPr>
          <w:rFonts w:hint="eastAsia" w:ascii="宋体" w:hAnsi="宋体" w:cs="宋体"/>
        </w:rPr>
        <w:t>第二章  投标人须知前附表</w:t>
      </w:r>
      <w:bookmarkStart w:id="57" w:name="_GoBack"/>
      <w:bookmarkEnd w:id="57"/>
      <w:r>
        <w:tab/>
      </w:r>
      <w:r>
        <w:fldChar w:fldCharType="begin"/>
      </w:r>
      <w:r>
        <w:instrText xml:space="preserve"> PAGEREF _Toc7362 \h </w:instrText>
      </w:r>
      <w:r>
        <w:fldChar w:fldCharType="separate"/>
      </w:r>
      <w:r>
        <w:t>6</w:t>
      </w:r>
      <w:r>
        <w:fldChar w:fldCharType="end"/>
      </w:r>
      <w:r>
        <w:rPr>
          <w:rFonts w:hint="eastAsia" w:ascii="宋体" w:hAnsi="宋体" w:cs="宋体"/>
          <w:bCs/>
          <w:caps/>
        </w:rPr>
        <w:fldChar w:fldCharType="end"/>
      </w:r>
    </w:p>
    <w:p w14:paraId="06F24F46">
      <w:pPr>
        <w:pStyle w:val="27"/>
        <w:tabs>
          <w:tab w:val="right" w:leader="dot" w:pos="9185"/>
          <w:tab w:val="clear" w:pos="9403"/>
        </w:tabs>
      </w:pPr>
      <w:r>
        <w:rPr>
          <w:rFonts w:hint="eastAsia" w:ascii="宋体" w:hAnsi="宋体" w:cs="宋体"/>
          <w:bCs/>
          <w:caps/>
        </w:rPr>
        <w:fldChar w:fldCharType="begin"/>
      </w:r>
      <w:r>
        <w:rPr>
          <w:rFonts w:hint="eastAsia" w:ascii="宋体" w:hAnsi="宋体" w:cs="宋体"/>
          <w:bCs/>
          <w:caps/>
        </w:rPr>
        <w:instrText xml:space="preserve"> HYPERLINK \l _Toc32422 </w:instrText>
      </w:r>
      <w:r>
        <w:rPr>
          <w:rFonts w:hint="eastAsia" w:ascii="宋体" w:hAnsi="宋体" w:cs="宋体"/>
          <w:bCs/>
          <w:caps/>
        </w:rPr>
        <w:fldChar w:fldCharType="separate"/>
      </w:r>
      <w:r>
        <w:rPr>
          <w:rFonts w:hint="eastAsia" w:ascii="宋体" w:hAnsi="宋体" w:eastAsia="宋体" w:cs="宋体"/>
        </w:rPr>
        <w:t>第三章  投标人须知</w:t>
      </w:r>
      <w:r>
        <w:tab/>
      </w:r>
      <w:r>
        <w:fldChar w:fldCharType="begin"/>
      </w:r>
      <w:r>
        <w:instrText xml:space="preserve"> PAGEREF _Toc32422 \h </w:instrText>
      </w:r>
      <w:r>
        <w:fldChar w:fldCharType="separate"/>
      </w:r>
      <w:r>
        <w:t>8</w:t>
      </w:r>
      <w:r>
        <w:fldChar w:fldCharType="end"/>
      </w:r>
      <w:r>
        <w:rPr>
          <w:rFonts w:hint="eastAsia" w:ascii="宋体" w:hAnsi="宋体" w:cs="宋体"/>
          <w:bCs/>
          <w:caps/>
        </w:rPr>
        <w:fldChar w:fldCharType="end"/>
      </w:r>
    </w:p>
    <w:p w14:paraId="6E9FF053">
      <w:pPr>
        <w:pStyle w:val="27"/>
        <w:tabs>
          <w:tab w:val="right" w:leader="dot" w:pos="9185"/>
          <w:tab w:val="clear" w:pos="9403"/>
        </w:tabs>
      </w:pPr>
      <w:r>
        <w:rPr>
          <w:rFonts w:hint="eastAsia" w:ascii="宋体" w:hAnsi="宋体" w:cs="宋体"/>
          <w:bCs/>
          <w:caps/>
        </w:rPr>
        <w:fldChar w:fldCharType="begin"/>
      </w:r>
      <w:r>
        <w:rPr>
          <w:rFonts w:hint="eastAsia" w:ascii="宋体" w:hAnsi="宋体" w:cs="宋体"/>
          <w:bCs/>
          <w:caps/>
        </w:rPr>
        <w:instrText xml:space="preserve"> HYPERLINK \l _Toc24846 </w:instrText>
      </w:r>
      <w:r>
        <w:rPr>
          <w:rFonts w:hint="eastAsia" w:ascii="宋体" w:hAnsi="宋体" w:cs="宋体"/>
          <w:bCs/>
          <w:caps/>
        </w:rPr>
        <w:fldChar w:fldCharType="separate"/>
      </w:r>
      <w:r>
        <w:rPr>
          <w:rFonts w:hint="eastAsia" w:ascii="宋体" w:hAnsi="宋体" w:cs="宋体"/>
        </w:rPr>
        <w:t>第</w:t>
      </w:r>
      <w:r>
        <w:rPr>
          <w:rFonts w:hint="eastAsia" w:ascii="宋体" w:hAnsi="宋体" w:cs="宋体"/>
          <w:lang w:val="en-US" w:eastAsia="zh-CN"/>
        </w:rPr>
        <w:t>四</w:t>
      </w:r>
      <w:r>
        <w:rPr>
          <w:rFonts w:hint="eastAsia" w:ascii="宋体" w:hAnsi="宋体" w:cs="宋体"/>
        </w:rPr>
        <w:t xml:space="preserve">章  </w:t>
      </w:r>
      <w:r>
        <w:rPr>
          <w:rFonts w:hint="eastAsia" w:ascii="宋体" w:hAnsi="宋体" w:cs="宋体"/>
          <w:lang w:val="en-US" w:eastAsia="zh-CN"/>
        </w:rPr>
        <w:t>招标内容及需求</w:t>
      </w:r>
      <w:r>
        <w:tab/>
      </w:r>
      <w:r>
        <w:fldChar w:fldCharType="begin"/>
      </w:r>
      <w:r>
        <w:instrText xml:space="preserve"> PAGEREF _Toc24846 \h </w:instrText>
      </w:r>
      <w:r>
        <w:fldChar w:fldCharType="separate"/>
      </w:r>
      <w:r>
        <w:t>16</w:t>
      </w:r>
      <w:r>
        <w:fldChar w:fldCharType="end"/>
      </w:r>
      <w:r>
        <w:rPr>
          <w:rFonts w:hint="eastAsia" w:ascii="宋体" w:hAnsi="宋体" w:cs="宋体"/>
          <w:bCs/>
          <w:caps/>
        </w:rPr>
        <w:fldChar w:fldCharType="end"/>
      </w:r>
    </w:p>
    <w:p w14:paraId="28161D5E">
      <w:pPr>
        <w:pStyle w:val="27"/>
        <w:tabs>
          <w:tab w:val="right" w:leader="dot" w:pos="9185"/>
          <w:tab w:val="clear" w:pos="9403"/>
        </w:tabs>
      </w:pPr>
      <w:r>
        <w:rPr>
          <w:rFonts w:hint="eastAsia" w:ascii="宋体" w:hAnsi="宋体" w:cs="宋体"/>
          <w:bCs/>
          <w:caps/>
        </w:rPr>
        <w:fldChar w:fldCharType="begin"/>
      </w:r>
      <w:r>
        <w:rPr>
          <w:rFonts w:hint="eastAsia" w:ascii="宋体" w:hAnsi="宋体" w:cs="宋体"/>
          <w:bCs/>
          <w:caps/>
        </w:rPr>
        <w:instrText xml:space="preserve"> HYPERLINK \l _Toc6346 </w:instrText>
      </w:r>
      <w:r>
        <w:rPr>
          <w:rFonts w:hint="eastAsia" w:ascii="宋体" w:hAnsi="宋体" w:cs="宋体"/>
          <w:bCs/>
          <w:caps/>
        </w:rPr>
        <w:fldChar w:fldCharType="separate"/>
      </w:r>
      <w:r>
        <w:rPr>
          <w:rFonts w:hint="eastAsia" w:ascii="宋体" w:hAnsi="宋体" w:cs="宋体"/>
        </w:rPr>
        <w:t xml:space="preserve">第五章 </w:t>
      </w:r>
      <w:r>
        <w:rPr>
          <w:rFonts w:hint="eastAsia" w:ascii="宋体" w:hAnsi="宋体" w:cs="宋体"/>
          <w:lang w:val="en-US" w:eastAsia="zh-CN"/>
        </w:rPr>
        <w:t xml:space="preserve"> </w:t>
      </w:r>
      <w:r>
        <w:rPr>
          <w:rFonts w:hint="eastAsia" w:ascii="宋体" w:hAnsi="宋体" w:cs="宋体"/>
        </w:rPr>
        <w:t>合同主要条款</w:t>
      </w:r>
      <w:r>
        <w:tab/>
      </w:r>
      <w:r>
        <w:fldChar w:fldCharType="begin"/>
      </w:r>
      <w:r>
        <w:instrText xml:space="preserve"> PAGEREF _Toc6346 \h </w:instrText>
      </w:r>
      <w:r>
        <w:fldChar w:fldCharType="separate"/>
      </w:r>
      <w:r>
        <w:t>24</w:t>
      </w:r>
      <w:r>
        <w:fldChar w:fldCharType="end"/>
      </w:r>
      <w:r>
        <w:rPr>
          <w:rFonts w:hint="eastAsia" w:ascii="宋体" w:hAnsi="宋体" w:cs="宋体"/>
          <w:bCs/>
          <w:caps/>
        </w:rPr>
        <w:fldChar w:fldCharType="end"/>
      </w:r>
    </w:p>
    <w:p w14:paraId="654C9EFC">
      <w:pPr>
        <w:pStyle w:val="27"/>
        <w:tabs>
          <w:tab w:val="right" w:leader="dot" w:pos="9185"/>
          <w:tab w:val="clear" w:pos="9403"/>
        </w:tabs>
      </w:pPr>
      <w:r>
        <w:rPr>
          <w:rFonts w:hint="eastAsia" w:ascii="宋体" w:hAnsi="宋体" w:cs="宋体"/>
          <w:bCs/>
          <w:caps/>
        </w:rPr>
        <w:fldChar w:fldCharType="begin"/>
      </w:r>
      <w:r>
        <w:rPr>
          <w:rFonts w:hint="eastAsia" w:ascii="宋体" w:hAnsi="宋体" w:cs="宋体"/>
          <w:bCs/>
          <w:caps/>
        </w:rPr>
        <w:instrText xml:space="preserve"> HYPERLINK \l _Toc12075 </w:instrText>
      </w:r>
      <w:r>
        <w:rPr>
          <w:rFonts w:hint="eastAsia" w:ascii="宋体" w:hAnsi="宋体" w:cs="宋体"/>
          <w:bCs/>
          <w:caps/>
        </w:rPr>
        <w:fldChar w:fldCharType="separate"/>
      </w:r>
      <w:r>
        <w:rPr>
          <w:rFonts w:hint="eastAsia" w:ascii="宋体" w:hAnsi="宋体" w:cs="宋体"/>
        </w:rPr>
        <w:t>第六章  投标文件格式</w:t>
      </w:r>
      <w:r>
        <w:tab/>
      </w:r>
      <w:r>
        <w:fldChar w:fldCharType="begin"/>
      </w:r>
      <w:r>
        <w:instrText xml:space="preserve"> PAGEREF _Toc12075 \h </w:instrText>
      </w:r>
      <w:r>
        <w:fldChar w:fldCharType="separate"/>
      </w:r>
      <w:r>
        <w:t>30</w:t>
      </w:r>
      <w:r>
        <w:fldChar w:fldCharType="end"/>
      </w:r>
      <w:r>
        <w:rPr>
          <w:rFonts w:hint="eastAsia" w:ascii="宋体" w:hAnsi="宋体" w:cs="宋体"/>
          <w:bCs/>
          <w:caps/>
        </w:rPr>
        <w:fldChar w:fldCharType="end"/>
      </w:r>
    </w:p>
    <w:p w14:paraId="6D79058C">
      <w:pPr>
        <w:pStyle w:val="27"/>
        <w:tabs>
          <w:tab w:val="right" w:leader="dot" w:pos="9185"/>
          <w:tab w:val="clear" w:pos="9403"/>
        </w:tabs>
      </w:pPr>
      <w:r>
        <w:rPr>
          <w:rFonts w:hint="eastAsia" w:ascii="宋体" w:hAnsi="宋体" w:cs="宋体"/>
          <w:bCs/>
          <w:caps/>
        </w:rPr>
        <w:fldChar w:fldCharType="begin"/>
      </w:r>
      <w:r>
        <w:rPr>
          <w:rFonts w:hint="eastAsia" w:ascii="宋体" w:hAnsi="宋体" w:cs="宋体"/>
          <w:bCs/>
          <w:caps/>
        </w:rPr>
        <w:instrText xml:space="preserve"> HYPERLINK \l _Toc25594 </w:instrText>
      </w:r>
      <w:r>
        <w:rPr>
          <w:rFonts w:hint="eastAsia" w:ascii="宋体" w:hAnsi="宋体" w:cs="宋体"/>
          <w:bCs/>
          <w:caps/>
        </w:rPr>
        <w:fldChar w:fldCharType="separate"/>
      </w:r>
      <w:r>
        <w:rPr>
          <w:rFonts w:hint="eastAsia" w:ascii="宋体" w:hAnsi="宋体" w:cs="宋体"/>
        </w:rPr>
        <w:t>第七章  评标办法</w:t>
      </w:r>
      <w:r>
        <w:tab/>
      </w:r>
      <w:r>
        <w:fldChar w:fldCharType="begin"/>
      </w:r>
      <w:r>
        <w:instrText xml:space="preserve"> PAGEREF _Toc25594 \h </w:instrText>
      </w:r>
      <w:r>
        <w:fldChar w:fldCharType="separate"/>
      </w:r>
      <w:r>
        <w:t>45</w:t>
      </w:r>
      <w:r>
        <w:fldChar w:fldCharType="end"/>
      </w:r>
      <w:r>
        <w:rPr>
          <w:rFonts w:hint="eastAsia" w:ascii="宋体" w:hAnsi="宋体" w:cs="宋体"/>
          <w:bCs/>
          <w:caps/>
        </w:rPr>
        <w:fldChar w:fldCharType="end"/>
      </w:r>
    </w:p>
    <w:p w14:paraId="343976BC">
      <w:pPr>
        <w:spacing w:line="360" w:lineRule="auto"/>
        <w:rPr>
          <w:rStyle w:val="51"/>
          <w:rFonts w:hint="eastAsia" w:ascii="宋体" w:hAnsi="宋体" w:cs="宋体"/>
          <w:color w:val="auto"/>
          <w:u w:val="none"/>
        </w:rPr>
      </w:pPr>
      <w:r>
        <w:rPr>
          <w:rFonts w:hint="eastAsia" w:ascii="宋体" w:hAnsi="宋体" w:cs="宋体"/>
          <w:bCs/>
          <w:caps/>
        </w:rPr>
        <w:fldChar w:fldCharType="end"/>
      </w:r>
    </w:p>
    <w:p w14:paraId="236066A7">
      <w:pPr>
        <w:pStyle w:val="3"/>
        <w:rPr>
          <w:rFonts w:hint="eastAsia" w:ascii="宋体" w:hAnsi="宋体" w:cs="宋体"/>
          <w:color w:val="auto"/>
        </w:rPr>
        <w:sectPr>
          <w:headerReference r:id="rId5" w:type="default"/>
          <w:footerReference r:id="rId6" w:type="even"/>
          <w:pgSz w:w="11906" w:h="16838"/>
          <w:pgMar w:top="1247" w:right="1247" w:bottom="1247" w:left="1474" w:header="851" w:footer="624" w:gutter="0"/>
          <w:pgNumType w:start="1"/>
          <w:cols w:space="720" w:num="1"/>
          <w:titlePg/>
          <w:docGrid w:linePitch="312" w:charSpace="0"/>
        </w:sectPr>
      </w:pPr>
      <w:bookmarkStart w:id="0" w:name="_Toc293343927"/>
    </w:p>
    <w:p w14:paraId="26D76F1A">
      <w:pPr>
        <w:pStyle w:val="3"/>
        <w:rPr>
          <w:rFonts w:hint="eastAsia" w:ascii="宋体" w:hAnsi="宋体" w:cs="宋体"/>
          <w:color w:val="auto"/>
        </w:rPr>
      </w:pPr>
      <w:bookmarkStart w:id="1" w:name="_Toc28605"/>
      <w:r>
        <w:rPr>
          <w:rFonts w:hint="eastAsia" w:ascii="宋体" w:hAnsi="宋体" w:cs="宋体"/>
          <w:color w:val="auto"/>
        </w:rPr>
        <w:t xml:space="preserve">第一章  </w:t>
      </w:r>
      <w:bookmarkEnd w:id="0"/>
      <w:r>
        <w:rPr>
          <w:rFonts w:hint="eastAsia" w:ascii="宋体" w:hAnsi="宋体" w:cs="宋体"/>
          <w:color w:val="auto"/>
        </w:rPr>
        <w:t>招标公告</w:t>
      </w:r>
      <w:bookmarkEnd w:id="1"/>
    </w:p>
    <w:p w14:paraId="05F4888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依据《中华人民共和国招标投标法》等有关法规的规定，浙江省成套招标代理有限公司受浙江省二轻集团有限责任公司的委托，就浙江省二轻集团司库管理系统建设项目进行公开招标，欢迎符合要求的单位参加本项目的投标竞争。</w:t>
      </w:r>
    </w:p>
    <w:p w14:paraId="78317F9A">
      <w:pPr>
        <w:spacing w:after="0"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rPr>
        <w:t>一、项目编号：</w:t>
      </w:r>
      <w:r>
        <w:rPr>
          <w:rFonts w:hint="eastAsia" w:ascii="宋体" w:hAnsi="宋体" w:cs="宋体"/>
          <w:b/>
          <w:bCs/>
          <w:szCs w:val="21"/>
          <w:lang w:eastAsia="zh-CN"/>
        </w:rPr>
        <w:t>CTZB-2025080378</w:t>
      </w:r>
    </w:p>
    <w:p w14:paraId="581372D0">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二、项目概况（内容、用途、数量、简要技术要求等）：</w:t>
      </w:r>
    </w:p>
    <w:tbl>
      <w:tblPr>
        <w:tblStyle w:val="4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64"/>
        <w:gridCol w:w="673"/>
        <w:gridCol w:w="800"/>
        <w:gridCol w:w="1600"/>
        <w:gridCol w:w="2937"/>
        <w:gridCol w:w="879"/>
      </w:tblGrid>
      <w:tr w14:paraId="7A25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4" w:type="dxa"/>
            <w:tcBorders>
              <w:top w:val="single" w:color="auto" w:sz="4" w:space="0"/>
              <w:left w:val="single" w:color="auto" w:sz="4" w:space="0"/>
              <w:bottom w:val="single" w:color="auto" w:sz="4" w:space="0"/>
              <w:right w:val="single" w:color="auto" w:sz="4" w:space="0"/>
            </w:tcBorders>
            <w:vAlign w:val="center"/>
          </w:tcPr>
          <w:p w14:paraId="7830E5F2">
            <w:pPr>
              <w:widowControl/>
              <w:snapToGrid w:val="0"/>
              <w:jc w:val="center"/>
              <w:rPr>
                <w:rFonts w:hint="eastAsia" w:ascii="宋体" w:hAnsi="宋体" w:cs="宋体"/>
                <w:b/>
                <w:bCs/>
                <w:kern w:val="0"/>
                <w:szCs w:val="21"/>
              </w:rPr>
            </w:pPr>
            <w:r>
              <w:rPr>
                <w:rFonts w:hint="eastAsia" w:ascii="宋体" w:hAnsi="宋体" w:cs="宋体"/>
                <w:b/>
                <w:bCs/>
                <w:kern w:val="0"/>
                <w:szCs w:val="21"/>
              </w:rPr>
              <w:t>序号</w:t>
            </w:r>
          </w:p>
        </w:tc>
        <w:tc>
          <w:tcPr>
            <w:tcW w:w="1364" w:type="dxa"/>
            <w:tcBorders>
              <w:top w:val="single" w:color="auto" w:sz="4" w:space="0"/>
              <w:left w:val="single" w:color="auto" w:sz="4" w:space="0"/>
              <w:bottom w:val="single" w:color="auto" w:sz="4" w:space="0"/>
              <w:right w:val="single" w:color="auto" w:sz="4" w:space="0"/>
            </w:tcBorders>
            <w:vAlign w:val="center"/>
          </w:tcPr>
          <w:p w14:paraId="00D03030">
            <w:pPr>
              <w:widowControl/>
              <w:snapToGrid w:val="0"/>
              <w:jc w:val="center"/>
              <w:rPr>
                <w:rFonts w:hint="eastAsia" w:ascii="宋体" w:hAnsi="宋体" w:cs="宋体"/>
                <w:b/>
                <w:bCs/>
                <w:kern w:val="0"/>
                <w:szCs w:val="21"/>
              </w:rPr>
            </w:pPr>
            <w:r>
              <w:rPr>
                <w:rFonts w:hint="eastAsia" w:ascii="宋体" w:hAnsi="宋体" w:cs="宋体"/>
                <w:b/>
                <w:bCs/>
                <w:kern w:val="0"/>
                <w:szCs w:val="21"/>
              </w:rPr>
              <w:t>项目内容</w:t>
            </w:r>
          </w:p>
        </w:tc>
        <w:tc>
          <w:tcPr>
            <w:tcW w:w="673" w:type="dxa"/>
            <w:tcBorders>
              <w:top w:val="single" w:color="auto" w:sz="4" w:space="0"/>
              <w:left w:val="single" w:color="auto" w:sz="4" w:space="0"/>
              <w:bottom w:val="single" w:color="auto" w:sz="4" w:space="0"/>
              <w:right w:val="single" w:color="auto" w:sz="4" w:space="0"/>
            </w:tcBorders>
            <w:vAlign w:val="center"/>
          </w:tcPr>
          <w:p w14:paraId="17F007B3">
            <w:pPr>
              <w:widowControl/>
              <w:snapToGrid w:val="0"/>
              <w:jc w:val="center"/>
              <w:rPr>
                <w:rFonts w:hint="eastAsia" w:ascii="宋体" w:hAnsi="宋体" w:cs="宋体"/>
                <w:b/>
                <w:bCs/>
                <w:kern w:val="0"/>
                <w:szCs w:val="21"/>
              </w:rPr>
            </w:pPr>
            <w:r>
              <w:rPr>
                <w:rFonts w:hint="eastAsia" w:ascii="宋体" w:hAnsi="宋体" w:cs="宋体"/>
                <w:b/>
                <w:bCs/>
                <w:kern w:val="0"/>
                <w:szCs w:val="21"/>
              </w:rPr>
              <w:t>数量</w:t>
            </w:r>
          </w:p>
        </w:tc>
        <w:tc>
          <w:tcPr>
            <w:tcW w:w="800" w:type="dxa"/>
            <w:tcBorders>
              <w:top w:val="single" w:color="auto" w:sz="4" w:space="0"/>
              <w:left w:val="single" w:color="auto" w:sz="4" w:space="0"/>
              <w:bottom w:val="single" w:color="auto" w:sz="4" w:space="0"/>
              <w:right w:val="single" w:color="auto" w:sz="4" w:space="0"/>
            </w:tcBorders>
            <w:vAlign w:val="center"/>
          </w:tcPr>
          <w:p w14:paraId="7F918CE0">
            <w:pPr>
              <w:widowControl/>
              <w:snapToGrid w:val="0"/>
              <w:jc w:val="center"/>
              <w:rPr>
                <w:rFonts w:hint="eastAsia" w:ascii="宋体" w:hAnsi="宋体" w:cs="宋体"/>
                <w:b/>
                <w:bCs/>
                <w:kern w:val="0"/>
                <w:szCs w:val="21"/>
              </w:rPr>
            </w:pPr>
            <w:r>
              <w:rPr>
                <w:rFonts w:hint="eastAsia" w:ascii="宋体" w:hAnsi="宋体" w:cs="宋体"/>
                <w:b/>
                <w:bCs/>
                <w:kern w:val="0"/>
                <w:szCs w:val="21"/>
              </w:rPr>
              <w:t>单位</w:t>
            </w:r>
          </w:p>
        </w:tc>
        <w:tc>
          <w:tcPr>
            <w:tcW w:w="1600" w:type="dxa"/>
            <w:tcBorders>
              <w:top w:val="single" w:color="auto" w:sz="4" w:space="0"/>
              <w:left w:val="single" w:color="auto" w:sz="4" w:space="0"/>
              <w:bottom w:val="single" w:color="auto" w:sz="4" w:space="0"/>
              <w:right w:val="single" w:color="auto" w:sz="4" w:space="0"/>
            </w:tcBorders>
            <w:vAlign w:val="center"/>
          </w:tcPr>
          <w:p w14:paraId="3A66B248">
            <w:pPr>
              <w:widowControl/>
              <w:snapToGrid w:val="0"/>
              <w:jc w:val="center"/>
              <w:rPr>
                <w:rFonts w:hint="eastAsia" w:ascii="宋体" w:hAnsi="宋体" w:cs="宋体"/>
                <w:b/>
                <w:bCs/>
                <w:kern w:val="0"/>
                <w:szCs w:val="21"/>
              </w:rPr>
            </w:pPr>
            <w:r>
              <w:rPr>
                <w:rFonts w:hint="eastAsia" w:ascii="宋体" w:hAnsi="宋体" w:cs="宋体"/>
                <w:b/>
                <w:bCs/>
                <w:kern w:val="0"/>
                <w:szCs w:val="21"/>
              </w:rPr>
              <w:t>最高限价</w:t>
            </w:r>
          </w:p>
        </w:tc>
        <w:tc>
          <w:tcPr>
            <w:tcW w:w="2937" w:type="dxa"/>
            <w:tcBorders>
              <w:top w:val="single" w:color="auto" w:sz="4" w:space="0"/>
              <w:left w:val="single" w:color="auto" w:sz="4" w:space="0"/>
              <w:bottom w:val="single" w:color="auto" w:sz="4" w:space="0"/>
              <w:right w:val="single" w:color="auto" w:sz="4" w:space="0"/>
            </w:tcBorders>
            <w:vAlign w:val="center"/>
          </w:tcPr>
          <w:p w14:paraId="5D7FB94E">
            <w:pPr>
              <w:widowControl/>
              <w:snapToGrid w:val="0"/>
              <w:jc w:val="center"/>
              <w:rPr>
                <w:rFonts w:hint="eastAsia" w:ascii="宋体" w:hAnsi="宋体" w:cs="宋体"/>
                <w:b/>
                <w:bCs/>
                <w:kern w:val="0"/>
                <w:szCs w:val="21"/>
              </w:rPr>
            </w:pPr>
            <w:r>
              <w:rPr>
                <w:rFonts w:hint="eastAsia" w:ascii="宋体" w:hAnsi="宋体" w:cs="宋体"/>
                <w:b/>
                <w:bCs/>
                <w:kern w:val="0"/>
                <w:szCs w:val="21"/>
              </w:rPr>
              <w:t>简要项目内容要求</w:t>
            </w:r>
          </w:p>
        </w:tc>
        <w:tc>
          <w:tcPr>
            <w:tcW w:w="879" w:type="dxa"/>
            <w:tcBorders>
              <w:top w:val="single" w:color="auto" w:sz="4" w:space="0"/>
              <w:left w:val="single" w:color="auto" w:sz="4" w:space="0"/>
              <w:bottom w:val="single" w:color="auto" w:sz="4" w:space="0"/>
              <w:right w:val="single" w:color="auto" w:sz="4" w:space="0"/>
            </w:tcBorders>
            <w:vAlign w:val="center"/>
          </w:tcPr>
          <w:p w14:paraId="065A4206">
            <w:pPr>
              <w:widowControl/>
              <w:snapToGrid w:val="0"/>
              <w:jc w:val="center"/>
              <w:rPr>
                <w:rFonts w:hint="eastAsia" w:ascii="宋体" w:hAnsi="宋体" w:cs="宋体"/>
                <w:b/>
                <w:bCs/>
                <w:kern w:val="0"/>
                <w:szCs w:val="21"/>
              </w:rPr>
            </w:pPr>
            <w:r>
              <w:rPr>
                <w:rFonts w:hint="eastAsia" w:ascii="宋体" w:hAnsi="宋体" w:cs="宋体"/>
                <w:b/>
                <w:bCs/>
                <w:kern w:val="0"/>
                <w:szCs w:val="21"/>
              </w:rPr>
              <w:t>备注</w:t>
            </w:r>
          </w:p>
        </w:tc>
      </w:tr>
      <w:tr w14:paraId="750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694" w:type="dxa"/>
            <w:tcBorders>
              <w:top w:val="single" w:color="auto" w:sz="4" w:space="0"/>
              <w:left w:val="single" w:color="auto" w:sz="4" w:space="0"/>
              <w:bottom w:val="single" w:color="auto" w:sz="4" w:space="0"/>
              <w:right w:val="single" w:color="auto" w:sz="4" w:space="0"/>
            </w:tcBorders>
            <w:vAlign w:val="center"/>
          </w:tcPr>
          <w:p w14:paraId="2E0BB23B">
            <w:pPr>
              <w:widowControl/>
              <w:snapToGrid w:val="0"/>
              <w:jc w:val="center"/>
              <w:rPr>
                <w:rFonts w:hint="eastAsia" w:ascii="宋体" w:hAnsi="宋体" w:cs="宋体"/>
                <w:b/>
                <w:bCs/>
                <w:kern w:val="0"/>
                <w:szCs w:val="21"/>
              </w:rPr>
            </w:pPr>
            <w:r>
              <w:rPr>
                <w:rFonts w:hint="eastAsia" w:ascii="宋体" w:hAnsi="宋体" w:cs="宋体"/>
                <w:b/>
                <w:bCs/>
                <w:kern w:val="0"/>
                <w:szCs w:val="21"/>
              </w:rPr>
              <w:t>1</w:t>
            </w:r>
          </w:p>
        </w:tc>
        <w:tc>
          <w:tcPr>
            <w:tcW w:w="1364" w:type="dxa"/>
            <w:tcBorders>
              <w:top w:val="single" w:color="auto" w:sz="4" w:space="0"/>
              <w:left w:val="single" w:color="auto" w:sz="4" w:space="0"/>
              <w:bottom w:val="single" w:color="auto" w:sz="4" w:space="0"/>
              <w:right w:val="single" w:color="auto" w:sz="4" w:space="0"/>
            </w:tcBorders>
            <w:vAlign w:val="center"/>
          </w:tcPr>
          <w:p w14:paraId="26BF25CA">
            <w:pPr>
              <w:widowControl/>
              <w:snapToGrid w:val="0"/>
              <w:jc w:val="center"/>
              <w:rPr>
                <w:rFonts w:hint="eastAsia" w:ascii="宋体" w:hAnsi="宋体" w:cs="宋体"/>
                <w:b/>
                <w:bCs/>
                <w:kern w:val="0"/>
                <w:szCs w:val="21"/>
              </w:rPr>
            </w:pPr>
            <w:r>
              <w:rPr>
                <w:rFonts w:hint="eastAsia" w:ascii="宋体" w:hAnsi="宋体" w:cs="宋体"/>
                <w:b/>
                <w:bCs/>
                <w:szCs w:val="21"/>
              </w:rPr>
              <w:t>浙江省二轻集团司库管理系统建设项目</w:t>
            </w:r>
          </w:p>
        </w:tc>
        <w:tc>
          <w:tcPr>
            <w:tcW w:w="673" w:type="dxa"/>
            <w:tcBorders>
              <w:top w:val="single" w:color="auto" w:sz="4" w:space="0"/>
              <w:left w:val="single" w:color="auto" w:sz="4" w:space="0"/>
              <w:bottom w:val="single" w:color="auto" w:sz="4" w:space="0"/>
              <w:right w:val="single" w:color="auto" w:sz="4" w:space="0"/>
            </w:tcBorders>
            <w:vAlign w:val="center"/>
          </w:tcPr>
          <w:p w14:paraId="67C18ECF">
            <w:pPr>
              <w:widowControl/>
              <w:snapToGrid w:val="0"/>
              <w:jc w:val="center"/>
              <w:rPr>
                <w:rFonts w:hint="eastAsia" w:ascii="宋体" w:hAnsi="宋体" w:cs="宋体"/>
                <w:b/>
                <w:bCs/>
                <w:kern w:val="0"/>
                <w:szCs w:val="21"/>
              </w:rPr>
            </w:pPr>
            <w:r>
              <w:rPr>
                <w:rFonts w:hint="eastAsia" w:ascii="宋体" w:hAnsi="宋体" w:cs="宋体"/>
                <w:b/>
                <w:bCs/>
                <w:kern w:val="0"/>
                <w:szCs w:val="21"/>
              </w:rPr>
              <w:t>1</w:t>
            </w:r>
          </w:p>
        </w:tc>
        <w:tc>
          <w:tcPr>
            <w:tcW w:w="800" w:type="dxa"/>
            <w:tcBorders>
              <w:top w:val="single" w:color="auto" w:sz="4" w:space="0"/>
              <w:left w:val="single" w:color="auto" w:sz="4" w:space="0"/>
              <w:bottom w:val="single" w:color="auto" w:sz="4" w:space="0"/>
              <w:right w:val="single" w:color="auto" w:sz="4" w:space="0"/>
            </w:tcBorders>
            <w:vAlign w:val="center"/>
          </w:tcPr>
          <w:p w14:paraId="13C56764">
            <w:pPr>
              <w:widowControl/>
              <w:snapToGrid w:val="0"/>
              <w:jc w:val="center"/>
              <w:rPr>
                <w:rFonts w:hint="eastAsia" w:ascii="宋体" w:hAnsi="宋体" w:cs="宋体"/>
                <w:b/>
                <w:bCs/>
                <w:kern w:val="0"/>
                <w:szCs w:val="21"/>
              </w:rPr>
            </w:pPr>
            <w:r>
              <w:rPr>
                <w:rFonts w:hint="eastAsia" w:ascii="宋体" w:hAnsi="宋体" w:cs="宋体"/>
                <w:b/>
                <w:bCs/>
                <w:kern w:val="0"/>
                <w:szCs w:val="21"/>
              </w:rPr>
              <w:t>项</w:t>
            </w:r>
          </w:p>
        </w:tc>
        <w:tc>
          <w:tcPr>
            <w:tcW w:w="1600" w:type="dxa"/>
            <w:tcBorders>
              <w:top w:val="single" w:color="auto" w:sz="4" w:space="0"/>
              <w:left w:val="single" w:color="auto" w:sz="4" w:space="0"/>
              <w:bottom w:val="single" w:color="auto" w:sz="4" w:space="0"/>
              <w:right w:val="single" w:color="auto" w:sz="4" w:space="0"/>
            </w:tcBorders>
            <w:vAlign w:val="center"/>
          </w:tcPr>
          <w:p w14:paraId="229F3C9B">
            <w:pPr>
              <w:widowControl/>
              <w:snapToGrid w:val="0"/>
              <w:jc w:val="center"/>
              <w:rPr>
                <w:rFonts w:hint="eastAsia" w:ascii="宋体" w:hAnsi="宋体" w:cs="宋体"/>
                <w:b/>
                <w:bCs/>
                <w:kern w:val="0"/>
                <w:szCs w:val="21"/>
              </w:rPr>
            </w:pPr>
            <w:r>
              <w:rPr>
                <w:rFonts w:hint="eastAsia" w:ascii="宋体" w:hAnsi="宋体" w:cs="宋体"/>
                <w:b/>
                <w:bCs/>
                <w:kern w:val="0"/>
                <w:szCs w:val="21"/>
              </w:rPr>
              <w:t>110万元</w:t>
            </w:r>
          </w:p>
        </w:tc>
        <w:tc>
          <w:tcPr>
            <w:tcW w:w="2937" w:type="dxa"/>
            <w:tcBorders>
              <w:top w:val="single" w:color="auto" w:sz="4" w:space="0"/>
              <w:left w:val="single" w:color="auto" w:sz="4" w:space="0"/>
              <w:bottom w:val="single" w:color="auto" w:sz="4" w:space="0"/>
              <w:right w:val="single" w:color="auto" w:sz="4" w:space="0"/>
            </w:tcBorders>
            <w:vAlign w:val="center"/>
          </w:tcPr>
          <w:p w14:paraId="4DBCA6FC">
            <w:pPr>
              <w:widowControl/>
              <w:snapToGrid w:val="0"/>
              <w:jc w:val="left"/>
              <w:rPr>
                <w:rFonts w:hint="eastAsia" w:ascii="宋体" w:hAnsi="宋体" w:cs="宋体"/>
                <w:b/>
                <w:bCs/>
                <w:kern w:val="0"/>
                <w:szCs w:val="21"/>
              </w:rPr>
            </w:pPr>
            <w:r>
              <w:rPr>
                <w:rFonts w:hint="eastAsia" w:ascii="宋体" w:hAnsi="宋体"/>
                <w:b/>
                <w:bCs/>
              </w:rPr>
              <w:t>为进一步加强资金的集约、高效、安全管理，促进业财深度融合，根据浙江省二轻集团公司《对标一流财务管理体系建设行动方案（2024-2026）》要求，建设集团司库管理体系，建设覆盖融资全场景应用的“智能友好、穿透可视、功能强大、安全可靠”的司库管理系统，实现集团从资金集中到金融资源“看得清、管得住、调得动、用得好”的转变。详见招标文件第三章“用户需求书”。</w:t>
            </w:r>
            <w:r>
              <w:rPr>
                <w:rFonts w:hint="eastAsia" w:ascii="宋体" w:hAnsi="宋体" w:cs="宋体"/>
                <w:b/>
                <w:bCs/>
                <w:szCs w:val="21"/>
              </w:rPr>
              <w:t xml:space="preserve"> </w:t>
            </w:r>
          </w:p>
        </w:tc>
        <w:tc>
          <w:tcPr>
            <w:tcW w:w="879" w:type="dxa"/>
            <w:vAlign w:val="center"/>
          </w:tcPr>
          <w:p w14:paraId="311549EC">
            <w:pPr>
              <w:snapToGrid w:val="0"/>
              <w:jc w:val="left"/>
              <w:rPr>
                <w:rFonts w:hint="eastAsia" w:ascii="宋体" w:hAnsi="宋体" w:cs="宋体"/>
                <w:b/>
                <w:bCs/>
                <w:szCs w:val="21"/>
              </w:rPr>
            </w:pPr>
          </w:p>
        </w:tc>
      </w:tr>
    </w:tbl>
    <w:p w14:paraId="56379633">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三、投标人资格要求：</w:t>
      </w:r>
    </w:p>
    <w:p w14:paraId="3A102A0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3.1</w:t>
      </w:r>
      <w:r>
        <w:rPr>
          <w:rFonts w:hint="eastAsia" w:ascii="宋体" w:hAnsi="宋体" w:eastAsia="宋体" w:cs="宋体"/>
          <w:szCs w:val="21"/>
          <w:lang w:eastAsia="zh-CN"/>
        </w:rPr>
        <w:t>投标人</w:t>
      </w:r>
      <w:r>
        <w:rPr>
          <w:rFonts w:hint="eastAsia" w:ascii="宋体" w:hAnsi="宋体" w:eastAsia="宋体" w:cs="宋体"/>
          <w:szCs w:val="21"/>
        </w:rPr>
        <w:t>应在中华人民共和国境内（不含港、澳、台地区）注册，具有独立法人资格（提供营业执照（事业单位法人证书或社会团体法人登记证书或其他组织登记证明文件，下同）扫描件（加盖公章），保险、金融、电信、通信特殊行业可视行业实际情况提供非独立法人的分公司登记证书及总公司唯一授权相关证明材料的扫描件（加盖公章））；</w:t>
      </w:r>
    </w:p>
    <w:p w14:paraId="7A5E29D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3.2</w:t>
      </w:r>
      <w:r>
        <w:rPr>
          <w:rFonts w:hint="eastAsia" w:ascii="宋体" w:hAnsi="宋体" w:eastAsia="宋体" w:cs="宋体"/>
          <w:szCs w:val="21"/>
          <w:lang w:eastAsia="zh-CN"/>
        </w:rPr>
        <w:t>投标人</w:t>
      </w:r>
      <w:r>
        <w:rPr>
          <w:rFonts w:hint="eastAsia" w:ascii="宋体" w:hAnsi="宋体" w:eastAsia="宋体" w:cs="宋体"/>
          <w:szCs w:val="21"/>
        </w:rPr>
        <w:t>应具有良好的银行资信和商业信誉；</w:t>
      </w:r>
    </w:p>
    <w:p w14:paraId="5B867C5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3.3</w:t>
      </w:r>
      <w:r>
        <w:rPr>
          <w:rFonts w:hint="eastAsia" w:ascii="宋体" w:hAnsi="宋体" w:eastAsia="宋体" w:cs="宋体"/>
          <w:szCs w:val="21"/>
          <w:lang w:eastAsia="zh-CN"/>
        </w:rPr>
        <w:t>投标人</w:t>
      </w:r>
      <w:r>
        <w:rPr>
          <w:rFonts w:hint="eastAsia" w:ascii="宋体" w:hAnsi="宋体" w:eastAsia="宋体" w:cs="宋体"/>
          <w:szCs w:val="21"/>
        </w:rPr>
        <w:t>不得存在下列情形之一：</w:t>
      </w:r>
    </w:p>
    <w:p w14:paraId="5FEABA1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3.3.1</w:t>
      </w:r>
      <w:r>
        <w:rPr>
          <w:rFonts w:hint="eastAsia" w:ascii="宋体" w:hAnsi="宋体" w:eastAsia="宋体" w:cs="宋体"/>
          <w:szCs w:val="21"/>
          <w:lang w:eastAsia="zh-CN"/>
        </w:rPr>
        <w:t>投标人</w:t>
      </w:r>
      <w:r>
        <w:rPr>
          <w:rFonts w:hint="eastAsia" w:ascii="宋体" w:hAnsi="宋体" w:eastAsia="宋体" w:cs="宋体"/>
          <w:szCs w:val="21"/>
        </w:rPr>
        <w:t>被责令停业停产或破产状态的；</w:t>
      </w:r>
    </w:p>
    <w:p w14:paraId="4C030DC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3.3.2</w:t>
      </w:r>
      <w:r>
        <w:rPr>
          <w:rFonts w:hint="eastAsia" w:ascii="宋体" w:hAnsi="宋体" w:eastAsia="宋体" w:cs="宋体"/>
          <w:szCs w:val="21"/>
          <w:lang w:eastAsia="zh-CN"/>
        </w:rPr>
        <w:t>投标人</w:t>
      </w:r>
      <w:r>
        <w:rPr>
          <w:rFonts w:hint="eastAsia" w:ascii="宋体" w:hAnsi="宋体" w:eastAsia="宋体" w:cs="宋体"/>
          <w:szCs w:val="21"/>
        </w:rPr>
        <w:t>财产被重组、接管、查封、扣押或冻结的；</w:t>
      </w:r>
    </w:p>
    <w:p w14:paraId="1ED5B9E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3.3.3</w:t>
      </w:r>
      <w:r>
        <w:rPr>
          <w:rFonts w:hint="eastAsia" w:ascii="宋体" w:hAnsi="宋体" w:eastAsia="宋体" w:cs="宋体"/>
          <w:szCs w:val="21"/>
        </w:rPr>
        <w:t>截至投标文件提交截止时间前3年内，</w:t>
      </w:r>
      <w:r>
        <w:rPr>
          <w:rFonts w:hint="eastAsia" w:ascii="宋体" w:hAnsi="宋体" w:eastAsia="宋体" w:cs="宋体"/>
          <w:szCs w:val="21"/>
          <w:lang w:eastAsia="zh-CN"/>
        </w:rPr>
        <w:t>投标人</w:t>
      </w:r>
      <w:r>
        <w:rPr>
          <w:rFonts w:hint="eastAsia" w:ascii="宋体" w:hAnsi="宋体" w:eastAsia="宋体" w:cs="宋体"/>
          <w:szCs w:val="21"/>
        </w:rPr>
        <w:t>在经营活动中有重大违法记录，被“信用中国”（www.creditchina.gov.cn）列入失信被执行人名单或重大税收违法案件当事人名单或被国家企业信用信息公示系统（www.gsxt.gov.cn）列入严重违法失信企业名单；</w:t>
      </w:r>
    </w:p>
    <w:p w14:paraId="5BE327D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3.4</w:t>
      </w:r>
      <w:r>
        <w:rPr>
          <w:rFonts w:hint="eastAsia" w:ascii="宋体" w:hAnsi="宋体" w:eastAsia="宋体" w:cs="宋体"/>
          <w:szCs w:val="21"/>
        </w:rPr>
        <w:t>法定代表人或单位负责人为同一人或者存在直接控股、管理关系的不同单位，不得同时参加本项目的采购；</w:t>
      </w:r>
    </w:p>
    <w:p w14:paraId="1D40819F">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3.5</w:t>
      </w:r>
      <w:r>
        <w:rPr>
          <w:rFonts w:hint="eastAsia" w:ascii="宋体" w:hAnsi="宋体" w:eastAsia="宋体" w:cs="宋体"/>
          <w:szCs w:val="21"/>
        </w:rPr>
        <w:t>本项目不接受联合体。</w:t>
      </w:r>
    </w:p>
    <w:p w14:paraId="48FCEFA3">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四、招标文件的发售时间及地点等：</w:t>
      </w:r>
    </w:p>
    <w:p w14:paraId="50C32DC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时间：2025年</w:t>
      </w:r>
      <w:r>
        <w:rPr>
          <w:rFonts w:hint="eastAsia" w:ascii="宋体" w:hAnsi="宋体" w:cs="宋体"/>
          <w:szCs w:val="21"/>
          <w:lang w:val="en-US" w:eastAsia="zh-CN"/>
        </w:rPr>
        <w:t>8</w:t>
      </w:r>
      <w:r>
        <w:rPr>
          <w:rFonts w:hint="eastAsia" w:ascii="宋体" w:hAnsi="宋体" w:eastAsia="宋体" w:cs="宋体"/>
          <w:szCs w:val="21"/>
        </w:rPr>
        <w:t>月</w:t>
      </w:r>
      <w:r>
        <w:rPr>
          <w:rFonts w:hint="eastAsia" w:ascii="宋体" w:hAnsi="宋体" w:cs="宋体"/>
          <w:szCs w:val="21"/>
          <w:lang w:val="en-US" w:eastAsia="zh-CN"/>
        </w:rPr>
        <w:t>23</w:t>
      </w:r>
      <w:r>
        <w:rPr>
          <w:rFonts w:hint="eastAsia" w:ascii="宋体" w:hAnsi="宋体" w:eastAsia="宋体" w:cs="宋体"/>
          <w:szCs w:val="21"/>
        </w:rPr>
        <w:t>日起至2025年</w:t>
      </w:r>
      <w:r>
        <w:rPr>
          <w:rFonts w:hint="eastAsia" w:ascii="宋体" w:hAnsi="宋体" w:cs="宋体"/>
          <w:szCs w:val="21"/>
          <w:lang w:val="en-US" w:eastAsia="zh-CN"/>
        </w:rPr>
        <w:t>8</w:t>
      </w:r>
      <w:r>
        <w:rPr>
          <w:rFonts w:hint="eastAsia" w:ascii="宋体" w:hAnsi="宋体" w:eastAsia="宋体" w:cs="宋体"/>
          <w:szCs w:val="21"/>
        </w:rPr>
        <w:t>月</w:t>
      </w:r>
      <w:r>
        <w:rPr>
          <w:rFonts w:hint="eastAsia" w:ascii="宋体" w:hAnsi="宋体" w:cs="宋体"/>
          <w:szCs w:val="21"/>
          <w:lang w:val="en-US" w:eastAsia="zh-CN"/>
        </w:rPr>
        <w:t>29</w:t>
      </w:r>
      <w:r>
        <w:rPr>
          <w:rFonts w:hint="eastAsia" w:ascii="宋体" w:hAnsi="宋体" w:eastAsia="宋体" w:cs="宋体"/>
          <w:szCs w:val="21"/>
        </w:rPr>
        <w:t>日（双休日及法定节假日除外），上午：8：30-11：30，下午：14：00-17：30</w:t>
      </w:r>
    </w:p>
    <w:p w14:paraId="3438E43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地点：杭州市文晖路42号现代置业大厦西楼18层1801室（文晖大桥西侧下桥口）</w:t>
      </w:r>
    </w:p>
    <w:p w14:paraId="1D0B396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获取方式：</w:t>
      </w:r>
      <w:r>
        <w:rPr>
          <w:rFonts w:hint="eastAsia" w:ascii="宋体" w:hAnsi="宋体" w:eastAsia="宋体" w:cs="宋体"/>
          <w:szCs w:val="21"/>
          <w:lang w:eastAsia="zh-CN"/>
        </w:rPr>
        <w:t>投标人</w:t>
      </w:r>
      <w:r>
        <w:rPr>
          <w:rFonts w:hint="eastAsia" w:ascii="宋体" w:hAnsi="宋体" w:eastAsia="宋体" w:cs="宋体"/>
          <w:szCs w:val="21"/>
        </w:rPr>
        <w:t>登录乐采云平台（https://www.lecaiyun.com/）在线申请获取招标文件（将本公告要求获取招标文件时须提交的文件资料发送至lvd@zjsct.cn，原件邮寄，并致电</w:t>
      </w:r>
      <w:r>
        <w:rPr>
          <w:rFonts w:hint="eastAsia" w:ascii="宋体" w:hAnsi="宋体" w:eastAsia="宋体" w:cs="宋体"/>
          <w:szCs w:val="21"/>
          <w:lang w:eastAsia="zh-CN"/>
        </w:rPr>
        <w:t>招标代理机构</w:t>
      </w:r>
      <w:r>
        <w:rPr>
          <w:rFonts w:hint="eastAsia" w:ascii="宋体" w:hAnsi="宋体" w:eastAsia="宋体" w:cs="宋体"/>
          <w:szCs w:val="21"/>
        </w:rPr>
        <w:t>联系人申请获取招标文件，进入“项目采购”应用，在获取招标文件菜单中选择项目获取）。</w:t>
      </w:r>
    </w:p>
    <w:p w14:paraId="34A72CE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售价（元）：500元（公对公打款，售后不退）；</w:t>
      </w:r>
    </w:p>
    <w:p w14:paraId="77CCDF3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支付账号：</w:t>
      </w:r>
    </w:p>
    <w:p w14:paraId="2849F26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支付方式：银行转账（汇款、电汇），</w:t>
      </w:r>
    </w:p>
    <w:p w14:paraId="13C97D3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收款单位（户名）：浙江省成套招标代理有限公司</w:t>
      </w:r>
    </w:p>
    <w:p w14:paraId="791D313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开  户：中信银行杭州西湖支行</w:t>
      </w:r>
    </w:p>
    <w:p w14:paraId="208F9B0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账  号：7331610182600126385</w:t>
      </w:r>
    </w:p>
    <w:p w14:paraId="6992C228">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注：代理机构仅对获取招标文件时上传的资料进行符合性检查，材料真实、有效性由本项目评审小组在评审阶段审核。</w:t>
      </w:r>
    </w:p>
    <w:p w14:paraId="7C8E87B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购买招标文件的代理机构将统一开具电子增值税专用/普通发票。</w:t>
      </w:r>
    </w:p>
    <w:p w14:paraId="0B5BA422">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五、投标截止时间：2025年</w:t>
      </w:r>
      <w:r>
        <w:rPr>
          <w:rFonts w:hint="eastAsia" w:ascii="宋体" w:hAnsi="宋体" w:cs="宋体"/>
          <w:b/>
          <w:bCs/>
          <w:szCs w:val="21"/>
          <w:lang w:val="en-US" w:eastAsia="zh-CN"/>
        </w:rPr>
        <w:t>9</w:t>
      </w:r>
      <w:r>
        <w:rPr>
          <w:rFonts w:hint="eastAsia" w:ascii="宋体" w:hAnsi="宋体" w:eastAsia="宋体" w:cs="宋体"/>
          <w:b/>
          <w:bCs/>
          <w:szCs w:val="21"/>
        </w:rPr>
        <w:t>月</w:t>
      </w:r>
      <w:r>
        <w:rPr>
          <w:rFonts w:hint="eastAsia" w:ascii="宋体" w:hAnsi="宋体" w:cs="宋体"/>
          <w:b/>
          <w:bCs/>
          <w:szCs w:val="21"/>
          <w:lang w:val="en-US" w:eastAsia="zh-CN"/>
        </w:rPr>
        <w:t>5</w:t>
      </w:r>
      <w:r>
        <w:rPr>
          <w:rFonts w:hint="eastAsia" w:ascii="宋体" w:hAnsi="宋体" w:eastAsia="宋体" w:cs="宋体"/>
          <w:b/>
          <w:bCs/>
          <w:szCs w:val="21"/>
        </w:rPr>
        <w:t>日14时00分（北京时间）</w:t>
      </w:r>
    </w:p>
    <w:p w14:paraId="094333CE">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六、投标地点（网址）：本项目采用全流程电子化交易，无须参加现场开标会 （https://www.lecaiyun.com/）。</w:t>
      </w:r>
    </w:p>
    <w:p w14:paraId="6CB08CF5">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七、开标时间：2025年</w:t>
      </w:r>
      <w:r>
        <w:rPr>
          <w:rFonts w:hint="eastAsia" w:ascii="宋体" w:hAnsi="宋体" w:cs="宋体"/>
          <w:b/>
          <w:bCs/>
          <w:szCs w:val="21"/>
          <w:lang w:val="en-US" w:eastAsia="zh-CN"/>
        </w:rPr>
        <w:t>9</w:t>
      </w:r>
      <w:r>
        <w:rPr>
          <w:rFonts w:hint="eastAsia" w:ascii="宋体" w:hAnsi="宋体" w:eastAsia="宋体" w:cs="宋体"/>
          <w:b/>
          <w:bCs/>
          <w:szCs w:val="21"/>
        </w:rPr>
        <w:t>月</w:t>
      </w:r>
      <w:r>
        <w:rPr>
          <w:rFonts w:hint="eastAsia" w:ascii="宋体" w:hAnsi="宋体" w:cs="宋体"/>
          <w:b/>
          <w:bCs/>
          <w:szCs w:val="21"/>
          <w:lang w:val="en-US" w:eastAsia="zh-CN"/>
        </w:rPr>
        <w:t>5</w:t>
      </w:r>
      <w:r>
        <w:rPr>
          <w:rFonts w:hint="eastAsia" w:ascii="宋体" w:hAnsi="宋体" w:eastAsia="宋体" w:cs="宋体"/>
          <w:b/>
          <w:bCs/>
          <w:szCs w:val="21"/>
        </w:rPr>
        <w:t>日14时00分（北京时间）</w:t>
      </w:r>
    </w:p>
    <w:p w14:paraId="584703EE">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八</w:t>
      </w:r>
      <w:r>
        <w:rPr>
          <w:rFonts w:hint="eastAsia" w:ascii="宋体" w:hAnsi="宋体" w:cs="宋体"/>
          <w:b/>
          <w:bCs/>
          <w:szCs w:val="21"/>
          <w:lang w:eastAsia="zh-CN"/>
        </w:rPr>
        <w:t>、</w:t>
      </w:r>
      <w:r>
        <w:rPr>
          <w:rFonts w:hint="eastAsia" w:ascii="宋体" w:hAnsi="宋体" w:eastAsia="宋体" w:cs="宋体"/>
          <w:b/>
          <w:bCs/>
          <w:szCs w:val="21"/>
        </w:rPr>
        <w:t>开标地点（网址）：本项目采用全流程电子化交易，无须参加现场开标会 （https://www.lecaiyun.com/）。</w:t>
      </w:r>
    </w:p>
    <w:p w14:paraId="17750525">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九、投标保证金：</w:t>
      </w:r>
    </w:p>
    <w:p w14:paraId="56A9F36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投标保证金：本项目不收取。</w:t>
      </w:r>
    </w:p>
    <w:p w14:paraId="04D4638B">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十、其他事项：</w:t>
      </w:r>
    </w:p>
    <w:p w14:paraId="2DF2799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10.1</w:t>
      </w:r>
      <w:r>
        <w:rPr>
          <w:rFonts w:hint="eastAsia" w:ascii="宋体" w:hAnsi="宋体" w:eastAsia="宋体" w:cs="宋体"/>
          <w:szCs w:val="21"/>
        </w:rPr>
        <w:t>自本公告发布之日起5个工作日。</w:t>
      </w:r>
    </w:p>
    <w:p w14:paraId="57B17068">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10.2</w:t>
      </w:r>
      <w:r>
        <w:rPr>
          <w:rFonts w:hint="eastAsia" w:ascii="宋体" w:hAnsi="宋体" w:eastAsia="宋体" w:cs="宋体"/>
          <w:szCs w:val="21"/>
        </w:rPr>
        <w:t>电子招投标的说明：①电子招投标：本项目以数据电文形式，依托“乐采云平台（www.lecaiyun.com）”进行招投标活动，不接受纸质投标文件；②投标准备：注册账号---点击“商家入驻”，进行采购</w:t>
      </w:r>
      <w:r>
        <w:rPr>
          <w:rFonts w:hint="eastAsia" w:ascii="宋体" w:hAnsi="宋体" w:eastAsia="宋体" w:cs="宋体"/>
          <w:szCs w:val="21"/>
          <w:lang w:eastAsia="zh-CN"/>
        </w:rPr>
        <w:t>投标人</w:t>
      </w:r>
      <w:r>
        <w:rPr>
          <w:rFonts w:hint="eastAsia" w:ascii="宋体" w:hAnsi="宋体" w:eastAsia="宋体" w:cs="宋体"/>
          <w:szCs w:val="21"/>
        </w:rPr>
        <w:t>资料填写；安装“乐采云电子交易客户端”---前往“</w:t>
      </w:r>
      <w:r>
        <w:rPr>
          <w:rFonts w:hint="eastAsia" w:ascii="宋体" w:hAnsi="宋体" w:cs="宋体"/>
          <w:szCs w:val="21"/>
          <w:lang w:eastAsia="zh-CN"/>
        </w:rPr>
        <w:t>zfcg.czt.zj.gov.cn</w:t>
      </w:r>
      <w:r>
        <w:rPr>
          <w:rFonts w:hint="eastAsia" w:ascii="宋体" w:hAnsi="宋体" w:eastAsia="宋体" w:cs="宋体"/>
          <w:szCs w:val="21"/>
        </w:rPr>
        <w:t>-下载专区-电子交易客户端”进行下载并安装</w:t>
      </w:r>
      <w:r>
        <w:rPr>
          <w:rFonts w:hint="eastAsia" w:ascii="宋体" w:hAnsi="宋体" w:cs="宋体"/>
          <w:szCs w:val="21"/>
          <w:lang w:val="en-US" w:eastAsia="zh-CN"/>
        </w:rPr>
        <w:t>；</w:t>
      </w:r>
      <w:r>
        <w:rPr>
          <w:rFonts w:hint="eastAsia" w:ascii="宋体" w:hAnsi="宋体" w:eastAsia="宋体" w:cs="宋体"/>
          <w:szCs w:val="21"/>
        </w:rPr>
        <w:t>申领CA数字证书---申领流程详见“</w:t>
      </w:r>
      <w:r>
        <w:rPr>
          <w:rFonts w:hint="eastAsia" w:ascii="宋体" w:hAnsi="宋体" w:cs="宋体"/>
          <w:szCs w:val="21"/>
          <w:lang w:eastAsia="zh-CN"/>
        </w:rPr>
        <w:t>zfcg.czt.zj.gov.cn</w:t>
      </w:r>
      <w:r>
        <w:rPr>
          <w:rFonts w:hint="eastAsia" w:ascii="宋体" w:hAnsi="宋体" w:eastAsia="宋体" w:cs="宋体"/>
          <w:szCs w:val="21"/>
        </w:rPr>
        <w:t>-下载专区-电子交易客户端-CA驱动和申领流程”；③招标文件的获取：使用账号登录或者使用CA登录乐采云平台；进入“项目采购”应用，在获取招标文件菜单中选择项目，获取招标文件；④投标文件的制作：在“乐采云电子交易客户端”中完成“填写基本信息”、“导入投标文件”、“标书关联”、“标书检查”、“电子签名”、“生成电子标书”等操作；⑤招标人、</w:t>
      </w:r>
      <w:r>
        <w:rPr>
          <w:rFonts w:hint="eastAsia" w:ascii="宋体" w:hAnsi="宋体" w:eastAsia="宋体" w:cs="宋体"/>
          <w:szCs w:val="21"/>
          <w:lang w:eastAsia="zh-CN"/>
        </w:rPr>
        <w:t>招标代理机构</w:t>
      </w:r>
      <w:r>
        <w:rPr>
          <w:rFonts w:hint="eastAsia" w:ascii="宋体" w:hAnsi="宋体" w:eastAsia="宋体" w:cs="宋体"/>
          <w:szCs w:val="21"/>
        </w:rPr>
        <w:t>将依托乐采云平台完成本项目的电子交易活动，平台不接受未按上述方式获取招标文件的投标人进行投标活动；⑥对未按上述方式获取招标文件的投标人对该文件提出的质疑，招标人或</w:t>
      </w:r>
      <w:r>
        <w:rPr>
          <w:rFonts w:hint="eastAsia" w:ascii="宋体" w:hAnsi="宋体" w:eastAsia="宋体" w:cs="宋体"/>
          <w:szCs w:val="21"/>
          <w:lang w:eastAsia="zh-CN"/>
        </w:rPr>
        <w:t>招标代理机构</w:t>
      </w:r>
      <w:r>
        <w:rPr>
          <w:rFonts w:hint="eastAsia" w:ascii="宋体" w:hAnsi="宋体" w:eastAsia="宋体" w:cs="宋体"/>
          <w:szCs w:val="21"/>
        </w:rPr>
        <w:t>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投标人应特别注意CA锁有效性，CA锁延期、补办后，虽硬件介质不变，但锁的证书Key号发生改变，视为不同锁，会导致开标时无法解密投标文件），视为投标文件撤回；⑩具体操作指南：详见乐采云平台“服务中心-帮助文档-项目采购-操作流程-电子招投标-电子交易管理操作指南-</w:t>
      </w:r>
      <w:r>
        <w:rPr>
          <w:rFonts w:hint="eastAsia" w:ascii="宋体" w:hAnsi="宋体" w:eastAsia="宋体" w:cs="宋体"/>
          <w:szCs w:val="21"/>
          <w:lang w:eastAsia="zh-CN"/>
        </w:rPr>
        <w:t>投标人</w:t>
      </w:r>
      <w:r>
        <w:rPr>
          <w:rFonts w:hint="eastAsia" w:ascii="宋体" w:hAnsi="宋体" w:eastAsia="宋体" w:cs="宋体"/>
          <w:szCs w:val="21"/>
        </w:rPr>
        <w:t>”。</w:t>
      </w:r>
    </w:p>
    <w:p w14:paraId="6854CE5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十一、联系方式</w:t>
      </w:r>
    </w:p>
    <w:p w14:paraId="0CEC443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11.1</w:t>
      </w:r>
      <w:r>
        <w:rPr>
          <w:rFonts w:hint="eastAsia" w:ascii="宋体" w:hAnsi="宋体" w:eastAsia="宋体" w:cs="宋体"/>
          <w:szCs w:val="21"/>
        </w:rPr>
        <w:t>招标人：浙江省二轻集团有限责任公司</w:t>
      </w:r>
    </w:p>
    <w:p w14:paraId="63BF96B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地址：杭州市延安路398号</w:t>
      </w:r>
    </w:p>
    <w:p w14:paraId="25644088">
      <w:pPr>
        <w:spacing w:after="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联系人：杜经理</w:t>
      </w:r>
    </w:p>
    <w:p w14:paraId="2851D51C">
      <w:pPr>
        <w:spacing w:after="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联系电话：0571-</w:t>
      </w:r>
      <w:r>
        <w:rPr>
          <w:rFonts w:hint="eastAsia" w:ascii="宋体" w:hAnsi="宋体" w:cs="宋体"/>
          <w:szCs w:val="21"/>
          <w:highlight w:val="none"/>
          <w:lang w:val="en-US" w:eastAsia="zh-CN"/>
        </w:rPr>
        <w:t>56773313</w:t>
      </w:r>
    </w:p>
    <w:p w14:paraId="549177F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11.2</w:t>
      </w:r>
      <w:r>
        <w:rPr>
          <w:rFonts w:hint="eastAsia" w:ascii="宋体" w:hAnsi="宋体" w:eastAsia="宋体" w:cs="宋体"/>
          <w:szCs w:val="21"/>
        </w:rPr>
        <w:t>招标代理机构：浙江省成套招标代理有限公司</w:t>
      </w:r>
    </w:p>
    <w:p w14:paraId="711C7B0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公司地址：杭州市文晖路42号现代置业大厦西楼1801</w:t>
      </w:r>
    </w:p>
    <w:p w14:paraId="5EC1DF5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联系人：吕丹、丁晓俊               </w:t>
      </w:r>
    </w:p>
    <w:p w14:paraId="60A1037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联系电话：0571-85830236，13666624916</w:t>
      </w:r>
    </w:p>
    <w:p w14:paraId="2791B40E">
      <w:pPr>
        <w:spacing w:after="0" w:line="360" w:lineRule="auto"/>
        <w:ind w:firstLine="420" w:firstLineChars="200"/>
        <w:rPr>
          <w:rFonts w:hint="eastAsia" w:ascii="宋体" w:hAnsi="宋体" w:eastAsia="宋体" w:cs="宋体"/>
          <w:szCs w:val="21"/>
        </w:rPr>
      </w:pPr>
      <w:bookmarkStart w:id="2" w:name="B25_谈判时间日期"/>
      <w:bookmarkEnd w:id="2"/>
      <w:bookmarkStart w:id="3" w:name="B30_其他事项"/>
      <w:bookmarkEnd w:id="3"/>
      <w:bookmarkStart w:id="4" w:name="B22_谈判响应文件提交截止日期"/>
      <w:bookmarkEnd w:id="4"/>
      <w:bookmarkStart w:id="5" w:name="B16_竞争性谈判文件发售开始日期"/>
      <w:bookmarkEnd w:id="5"/>
      <w:r>
        <w:rPr>
          <w:rFonts w:hint="eastAsia" w:ascii="宋体" w:hAnsi="宋体" w:eastAsia="宋体" w:cs="宋体"/>
          <w:szCs w:val="21"/>
        </w:rPr>
        <w:t xml:space="preserve">传真：4008-266-163转07285 </w:t>
      </w:r>
    </w:p>
    <w:p w14:paraId="27626DD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11.3</w:t>
      </w:r>
      <w:r>
        <w:rPr>
          <w:rFonts w:hint="eastAsia" w:ascii="宋体" w:hAnsi="宋体" w:eastAsia="宋体" w:cs="宋体"/>
          <w:szCs w:val="21"/>
        </w:rPr>
        <w:t>采购监督管理部门：浙江省二轻集团有限责任公司纪检监察室</w:t>
      </w:r>
    </w:p>
    <w:p w14:paraId="0CCE21B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地址：浙江省杭州市拱墅区延安路398-408号浙江二轻大厦A座10层</w:t>
      </w:r>
    </w:p>
    <w:p w14:paraId="2C16276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联系人：程先生</w:t>
      </w:r>
    </w:p>
    <w:p w14:paraId="299D774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电话：0571-87035306</w:t>
      </w:r>
    </w:p>
    <w:p w14:paraId="36D09A7A">
      <w:pPr>
        <w:spacing w:after="0" w:line="360" w:lineRule="auto"/>
        <w:ind w:firstLine="420" w:firstLineChars="200"/>
        <w:rPr>
          <w:rFonts w:hint="eastAsia" w:ascii="宋体" w:hAnsi="宋体" w:eastAsia="宋体" w:cs="宋体"/>
          <w:szCs w:val="21"/>
        </w:rPr>
      </w:pPr>
    </w:p>
    <w:p w14:paraId="71FBF831">
      <w:pPr>
        <w:spacing w:after="0" w:line="360" w:lineRule="auto"/>
        <w:ind w:firstLine="420" w:firstLineChars="200"/>
        <w:rPr>
          <w:rFonts w:hint="eastAsia" w:ascii="宋体" w:hAnsi="宋体" w:eastAsia="宋体" w:cs="宋体"/>
          <w:szCs w:val="21"/>
        </w:rPr>
      </w:pPr>
    </w:p>
    <w:p w14:paraId="725B2FE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若对项目采购电子交易系统操作有疑问，可登录乐采云（https://www.lecaiyun.com/），点击右侧咨询小采，获取采小蜜智能服务管家帮助，或拨打乐采云服务热线95763获取热线服务帮助。        </w:t>
      </w:r>
    </w:p>
    <w:p w14:paraId="79BCA46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CA问题联系电话（人工）：汇信CA 400-888-4636；天谷CA 400-087-8198。</w:t>
      </w:r>
    </w:p>
    <w:p w14:paraId="38508D62">
      <w:pPr>
        <w:rPr>
          <w:rFonts w:hint="eastAsia" w:ascii="宋体" w:hAnsi="宋体" w:cs="宋体"/>
          <w:color w:val="auto"/>
        </w:rPr>
      </w:pPr>
      <w:bookmarkStart w:id="6" w:name="_Toc273624872"/>
      <w:bookmarkStart w:id="7" w:name="_Toc82873316"/>
      <w:bookmarkStart w:id="8" w:name="_Toc211745565"/>
      <w:bookmarkStart w:id="9" w:name="_Toc82338233"/>
      <w:r>
        <w:rPr>
          <w:rFonts w:hint="eastAsia" w:ascii="宋体" w:hAnsi="宋体" w:cs="宋体"/>
          <w:color w:val="auto"/>
        </w:rPr>
        <w:br w:type="page"/>
      </w:r>
    </w:p>
    <w:p w14:paraId="0C66AF45">
      <w:pPr>
        <w:pStyle w:val="3"/>
        <w:rPr>
          <w:rFonts w:hint="eastAsia" w:ascii="宋体" w:hAnsi="宋体" w:cs="宋体"/>
          <w:color w:val="auto"/>
        </w:rPr>
      </w:pPr>
      <w:bookmarkStart w:id="10" w:name="_Toc7362"/>
      <w:r>
        <w:rPr>
          <w:rFonts w:hint="eastAsia" w:ascii="宋体" w:hAnsi="宋体" w:cs="宋体"/>
          <w:color w:val="auto"/>
        </w:rPr>
        <w:t xml:space="preserve">第二章  </w:t>
      </w:r>
      <w:bookmarkEnd w:id="6"/>
      <w:r>
        <w:rPr>
          <w:rFonts w:hint="eastAsia" w:ascii="宋体" w:hAnsi="宋体" w:cs="宋体"/>
          <w:color w:val="auto"/>
        </w:rPr>
        <w:t>投标人须知前附表</w:t>
      </w:r>
      <w:bookmarkEnd w:id="10"/>
    </w:p>
    <w:tbl>
      <w:tblPr>
        <w:tblStyle w:val="44"/>
        <w:tblW w:w="89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842"/>
        <w:gridCol w:w="5953"/>
      </w:tblGrid>
      <w:tr w14:paraId="73A61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12E82C14">
            <w:pPr>
              <w:widowControl/>
              <w:spacing w:line="360" w:lineRule="auto"/>
              <w:jc w:val="center"/>
              <w:rPr>
                <w:rFonts w:hint="eastAsia" w:ascii="宋体" w:hAnsi="宋体" w:cs="宋体"/>
                <w:szCs w:val="21"/>
              </w:rPr>
            </w:pPr>
            <w:r>
              <w:rPr>
                <w:rFonts w:hint="eastAsia" w:ascii="宋体" w:hAnsi="宋体" w:cs="宋体"/>
                <w:szCs w:val="21"/>
              </w:rPr>
              <w:t>投标人须知条款号</w:t>
            </w:r>
          </w:p>
        </w:tc>
        <w:tc>
          <w:tcPr>
            <w:tcW w:w="1842" w:type="dxa"/>
            <w:vAlign w:val="center"/>
          </w:tcPr>
          <w:p w14:paraId="45AD75DE">
            <w:pPr>
              <w:widowControl/>
              <w:spacing w:line="360" w:lineRule="auto"/>
              <w:jc w:val="center"/>
              <w:rPr>
                <w:rFonts w:hint="eastAsia" w:ascii="宋体" w:hAnsi="宋体" w:cs="宋体"/>
                <w:szCs w:val="21"/>
              </w:rPr>
            </w:pPr>
            <w:r>
              <w:rPr>
                <w:rFonts w:hint="eastAsia" w:ascii="宋体" w:hAnsi="宋体" w:cs="宋体"/>
                <w:szCs w:val="21"/>
              </w:rPr>
              <w:t>名称</w:t>
            </w:r>
          </w:p>
        </w:tc>
        <w:tc>
          <w:tcPr>
            <w:tcW w:w="5953" w:type="dxa"/>
            <w:vAlign w:val="center"/>
          </w:tcPr>
          <w:p w14:paraId="2F735C27">
            <w:pPr>
              <w:widowControl/>
              <w:spacing w:line="360" w:lineRule="auto"/>
              <w:ind w:firstLine="420" w:firstLineChars="200"/>
              <w:jc w:val="center"/>
              <w:rPr>
                <w:rFonts w:hint="eastAsia" w:ascii="宋体" w:hAnsi="宋体" w:cs="宋体"/>
                <w:szCs w:val="21"/>
              </w:rPr>
            </w:pPr>
            <w:r>
              <w:rPr>
                <w:rFonts w:hint="eastAsia" w:ascii="宋体" w:hAnsi="宋体" w:cs="宋体"/>
                <w:szCs w:val="21"/>
              </w:rPr>
              <w:t>内容</w:t>
            </w:r>
          </w:p>
        </w:tc>
      </w:tr>
      <w:tr w14:paraId="75E0B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152" w:type="dxa"/>
            <w:vAlign w:val="center"/>
          </w:tcPr>
          <w:p w14:paraId="5C3E1748">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1.3</w:t>
            </w:r>
          </w:p>
        </w:tc>
        <w:tc>
          <w:tcPr>
            <w:tcW w:w="1842" w:type="dxa"/>
            <w:vAlign w:val="center"/>
          </w:tcPr>
          <w:p w14:paraId="7081D1BB">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招标人</w:t>
            </w:r>
          </w:p>
        </w:tc>
        <w:tc>
          <w:tcPr>
            <w:tcW w:w="5953" w:type="dxa"/>
            <w:vAlign w:val="center"/>
          </w:tcPr>
          <w:p w14:paraId="1E500951">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见招标公告</w:t>
            </w:r>
          </w:p>
        </w:tc>
      </w:tr>
      <w:tr w14:paraId="60069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4D330441">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1.3</w:t>
            </w:r>
          </w:p>
        </w:tc>
        <w:tc>
          <w:tcPr>
            <w:tcW w:w="1842" w:type="dxa"/>
            <w:vAlign w:val="center"/>
          </w:tcPr>
          <w:p w14:paraId="7BA728DE">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招标代理机构</w:t>
            </w:r>
          </w:p>
        </w:tc>
        <w:tc>
          <w:tcPr>
            <w:tcW w:w="5953" w:type="dxa"/>
            <w:vAlign w:val="center"/>
          </w:tcPr>
          <w:p w14:paraId="4A485758">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见招标公告</w:t>
            </w:r>
          </w:p>
        </w:tc>
      </w:tr>
      <w:tr w14:paraId="1EE29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74DE5A89">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1.9</w:t>
            </w:r>
          </w:p>
        </w:tc>
        <w:tc>
          <w:tcPr>
            <w:tcW w:w="1842" w:type="dxa"/>
            <w:vAlign w:val="center"/>
          </w:tcPr>
          <w:p w14:paraId="6FC19A99">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踏勘现场</w:t>
            </w:r>
          </w:p>
        </w:tc>
        <w:tc>
          <w:tcPr>
            <w:tcW w:w="5953" w:type="dxa"/>
            <w:vAlign w:val="center"/>
          </w:tcPr>
          <w:p w14:paraId="1A4913C6">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不组织，投标人如有需要，经招标人同意后可自行前往，踏勘期间发生的费用或意外导致伤亡等一切责任和损失均由投标人自负。</w:t>
            </w:r>
          </w:p>
        </w:tc>
      </w:tr>
      <w:tr w14:paraId="4E148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299D9B82">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1.10</w:t>
            </w:r>
          </w:p>
        </w:tc>
        <w:tc>
          <w:tcPr>
            <w:tcW w:w="1842" w:type="dxa"/>
            <w:vAlign w:val="center"/>
          </w:tcPr>
          <w:p w14:paraId="138729D4">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答疑会</w:t>
            </w:r>
          </w:p>
        </w:tc>
        <w:tc>
          <w:tcPr>
            <w:tcW w:w="5953" w:type="dxa"/>
            <w:vAlign w:val="center"/>
          </w:tcPr>
          <w:p w14:paraId="0F83D644">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不召开</w:t>
            </w:r>
          </w:p>
        </w:tc>
      </w:tr>
      <w:tr w14:paraId="6CB27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779AEC26">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1.11</w:t>
            </w:r>
          </w:p>
        </w:tc>
        <w:tc>
          <w:tcPr>
            <w:tcW w:w="1842" w:type="dxa"/>
            <w:vAlign w:val="center"/>
          </w:tcPr>
          <w:p w14:paraId="695CBA6D">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分包</w:t>
            </w:r>
          </w:p>
        </w:tc>
        <w:tc>
          <w:tcPr>
            <w:tcW w:w="5953" w:type="dxa"/>
            <w:vAlign w:val="center"/>
          </w:tcPr>
          <w:p w14:paraId="044D3CB4">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允许</w:t>
            </w:r>
          </w:p>
        </w:tc>
      </w:tr>
      <w:tr w14:paraId="58773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5EE26DE0">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2.4</w:t>
            </w:r>
          </w:p>
        </w:tc>
        <w:tc>
          <w:tcPr>
            <w:tcW w:w="1842" w:type="dxa"/>
            <w:vAlign w:val="center"/>
          </w:tcPr>
          <w:p w14:paraId="7F69C970">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询疑截止时间及澄清形式</w:t>
            </w:r>
          </w:p>
        </w:tc>
        <w:tc>
          <w:tcPr>
            <w:tcW w:w="5953" w:type="dxa"/>
            <w:vAlign w:val="center"/>
          </w:tcPr>
          <w:p w14:paraId="7E239B4F">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2025年</w:t>
            </w:r>
            <w:r>
              <w:rPr>
                <w:rFonts w:hint="eastAsia" w:ascii="宋体" w:hAnsi="宋体" w:cs="宋体"/>
                <w:lang w:val="en-US" w:eastAsia="zh-CN"/>
              </w:rPr>
              <w:t>8</w:t>
            </w:r>
            <w:r>
              <w:rPr>
                <w:rFonts w:hint="eastAsia" w:ascii="宋体" w:hAnsi="宋体" w:eastAsia="宋体" w:cs="宋体"/>
              </w:rPr>
              <w:t>月</w:t>
            </w:r>
            <w:r>
              <w:rPr>
                <w:rFonts w:hint="eastAsia" w:ascii="宋体" w:hAnsi="宋体" w:cs="宋体"/>
                <w:lang w:val="en-US" w:eastAsia="zh-CN"/>
              </w:rPr>
              <w:t>31</w:t>
            </w:r>
            <w:r>
              <w:rPr>
                <w:rFonts w:hint="eastAsia" w:ascii="宋体" w:hAnsi="宋体" w:eastAsia="宋体" w:cs="宋体"/>
              </w:rPr>
              <w:t>日17时30分前以书面形式传真（4008-266-163转07285）至招标代理机构并将电子稿件发至dingxj@zjsct.cn。</w:t>
            </w:r>
          </w:p>
          <w:p w14:paraId="05237A81">
            <w:pPr>
              <w:pStyle w:val="68"/>
              <w:snapToGrid w:val="0"/>
              <w:spacing w:after="0" w:line="360" w:lineRule="auto"/>
              <w:ind w:firstLine="0" w:firstLineChars="0"/>
              <w:jc w:val="left"/>
              <w:rPr>
                <w:rFonts w:hint="eastAsia" w:ascii="宋体" w:hAnsi="宋体" w:eastAsia="宋体" w:cs="宋体"/>
              </w:rPr>
            </w:pPr>
            <w:r>
              <w:rPr>
                <w:rFonts w:hint="eastAsia" w:ascii="宋体" w:hAnsi="宋体" w:cs="宋体"/>
                <w:lang w:val="en-US" w:eastAsia="zh-CN"/>
              </w:rPr>
              <w:t>并</w:t>
            </w:r>
            <w:r>
              <w:rPr>
                <w:rFonts w:hint="eastAsia" w:ascii="宋体" w:hAnsi="宋体" w:eastAsia="宋体" w:cs="宋体"/>
              </w:rPr>
              <w:t>在（https://zfcg.czt.zj.gov.cn/）上公开发布。在开启前，</w:t>
            </w:r>
            <w:r>
              <w:rPr>
                <w:rFonts w:hint="eastAsia" w:ascii="宋体" w:hAnsi="宋体" w:cs="宋体"/>
                <w:lang w:eastAsia="zh-CN"/>
              </w:rPr>
              <w:t>投标人</w:t>
            </w:r>
            <w:r>
              <w:rPr>
                <w:rFonts w:hint="eastAsia" w:ascii="宋体" w:hAnsi="宋体" w:eastAsia="宋体" w:cs="宋体"/>
              </w:rPr>
              <w:t>须随时关注网站的最新答疑信息，自动下载。</w:t>
            </w:r>
          </w:p>
          <w:p w14:paraId="64CAED5D">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潜在</w:t>
            </w:r>
            <w:r>
              <w:rPr>
                <w:rFonts w:hint="eastAsia" w:ascii="宋体" w:hAnsi="宋体" w:cs="宋体"/>
                <w:lang w:eastAsia="zh-CN"/>
              </w:rPr>
              <w:t>投标人</w:t>
            </w:r>
            <w:r>
              <w:rPr>
                <w:rFonts w:hint="eastAsia" w:ascii="宋体" w:hAnsi="宋体" w:eastAsia="宋体" w:cs="宋体"/>
              </w:rPr>
              <w:t>应自行关注（https://zfcg.czt.zj.gov.cn/）、乐采云（https://www.lecaiyun.com/）发布的补充公告信息，招标人不再一一通知。投标人因自身贻误行为导致投标失败的，责任自负。</w:t>
            </w:r>
          </w:p>
        </w:tc>
      </w:tr>
      <w:tr w14:paraId="339C4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7CF61954">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3.3.4</w:t>
            </w:r>
          </w:p>
        </w:tc>
        <w:tc>
          <w:tcPr>
            <w:tcW w:w="1842" w:type="dxa"/>
            <w:vAlign w:val="center"/>
          </w:tcPr>
          <w:p w14:paraId="4EB2F993">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签字或盖章要求</w:t>
            </w:r>
          </w:p>
        </w:tc>
        <w:tc>
          <w:tcPr>
            <w:tcW w:w="5953" w:type="dxa"/>
            <w:vAlign w:val="center"/>
          </w:tcPr>
          <w:p w14:paraId="67FCC000">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投标文件按“投标文件格式”中提供的格式签署、盖章。</w:t>
            </w:r>
          </w:p>
        </w:tc>
      </w:tr>
      <w:tr w14:paraId="2B06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19D317A7">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3.3.5</w:t>
            </w:r>
          </w:p>
        </w:tc>
        <w:tc>
          <w:tcPr>
            <w:tcW w:w="1842" w:type="dxa"/>
            <w:vAlign w:val="center"/>
          </w:tcPr>
          <w:p w14:paraId="0247792D">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投标文件份数</w:t>
            </w:r>
          </w:p>
        </w:tc>
        <w:tc>
          <w:tcPr>
            <w:tcW w:w="5953" w:type="dxa"/>
            <w:vAlign w:val="center"/>
          </w:tcPr>
          <w:p w14:paraId="1D460477">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投标文件为电子投标文件，电子投标文件按“乐采云</w:t>
            </w:r>
            <w:r>
              <w:rPr>
                <w:rFonts w:hint="eastAsia" w:ascii="宋体" w:hAnsi="宋体" w:cs="宋体"/>
                <w:lang w:eastAsia="zh-CN"/>
              </w:rPr>
              <w:t>投标人</w:t>
            </w:r>
            <w:r>
              <w:rPr>
                <w:rFonts w:hint="eastAsia" w:ascii="宋体" w:hAnsi="宋体" w:eastAsia="宋体" w:cs="宋体"/>
              </w:rPr>
              <w:t>项目采购-电子招投标操作指南”及本招标文件要求制作、加密传输。</w:t>
            </w:r>
          </w:p>
        </w:tc>
      </w:tr>
      <w:tr w14:paraId="6E446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7E6379D7">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3.5.1</w:t>
            </w:r>
          </w:p>
        </w:tc>
        <w:tc>
          <w:tcPr>
            <w:tcW w:w="1842" w:type="dxa"/>
            <w:vAlign w:val="center"/>
          </w:tcPr>
          <w:p w14:paraId="44EB5F8E">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投标保证金</w:t>
            </w:r>
          </w:p>
        </w:tc>
        <w:tc>
          <w:tcPr>
            <w:tcW w:w="5953" w:type="dxa"/>
            <w:vAlign w:val="center"/>
          </w:tcPr>
          <w:p w14:paraId="520C9618">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无</w:t>
            </w:r>
          </w:p>
        </w:tc>
      </w:tr>
      <w:tr w14:paraId="5D304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76BFB515">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3.6.1</w:t>
            </w:r>
          </w:p>
        </w:tc>
        <w:tc>
          <w:tcPr>
            <w:tcW w:w="1842" w:type="dxa"/>
            <w:vAlign w:val="center"/>
          </w:tcPr>
          <w:p w14:paraId="66A878A2">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投标文件有效期</w:t>
            </w:r>
          </w:p>
        </w:tc>
        <w:tc>
          <w:tcPr>
            <w:tcW w:w="5953" w:type="dxa"/>
            <w:vAlign w:val="center"/>
          </w:tcPr>
          <w:p w14:paraId="658EB13B">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自投标截止时间起90天内</w:t>
            </w:r>
          </w:p>
        </w:tc>
      </w:tr>
      <w:tr w14:paraId="001C1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60640D21">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4.2.1</w:t>
            </w:r>
          </w:p>
        </w:tc>
        <w:tc>
          <w:tcPr>
            <w:tcW w:w="1842" w:type="dxa"/>
            <w:vAlign w:val="center"/>
          </w:tcPr>
          <w:p w14:paraId="1DDF9758">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投标截止时间</w:t>
            </w:r>
          </w:p>
        </w:tc>
        <w:tc>
          <w:tcPr>
            <w:tcW w:w="5953" w:type="dxa"/>
            <w:vAlign w:val="center"/>
          </w:tcPr>
          <w:p w14:paraId="258725EF">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按“招标公告”规定</w:t>
            </w:r>
          </w:p>
        </w:tc>
      </w:tr>
      <w:tr w14:paraId="46824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4C695F25">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4.2.2</w:t>
            </w:r>
          </w:p>
        </w:tc>
        <w:tc>
          <w:tcPr>
            <w:tcW w:w="1842" w:type="dxa"/>
            <w:vAlign w:val="center"/>
          </w:tcPr>
          <w:p w14:paraId="37A87262">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投标地点</w:t>
            </w:r>
          </w:p>
        </w:tc>
        <w:tc>
          <w:tcPr>
            <w:tcW w:w="5953" w:type="dxa"/>
            <w:vAlign w:val="center"/>
          </w:tcPr>
          <w:p w14:paraId="7A99CDE8">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按“招标公告”规定</w:t>
            </w:r>
          </w:p>
        </w:tc>
      </w:tr>
      <w:tr w14:paraId="0BDE0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4F3C9BC5">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5.1.1</w:t>
            </w:r>
          </w:p>
        </w:tc>
        <w:tc>
          <w:tcPr>
            <w:tcW w:w="1842" w:type="dxa"/>
            <w:vAlign w:val="center"/>
          </w:tcPr>
          <w:p w14:paraId="60082144">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开标时间和地点</w:t>
            </w:r>
          </w:p>
        </w:tc>
        <w:tc>
          <w:tcPr>
            <w:tcW w:w="5953" w:type="dxa"/>
            <w:vAlign w:val="center"/>
          </w:tcPr>
          <w:p w14:paraId="09D88A3D">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按“招标公告”规定</w:t>
            </w:r>
          </w:p>
        </w:tc>
      </w:tr>
      <w:tr w14:paraId="20840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65759D04">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5.16.1</w:t>
            </w:r>
          </w:p>
        </w:tc>
        <w:tc>
          <w:tcPr>
            <w:tcW w:w="1842" w:type="dxa"/>
            <w:vAlign w:val="center"/>
          </w:tcPr>
          <w:p w14:paraId="3FE28C33">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履约保证金</w:t>
            </w:r>
          </w:p>
        </w:tc>
        <w:tc>
          <w:tcPr>
            <w:tcW w:w="5953" w:type="dxa"/>
            <w:vAlign w:val="center"/>
          </w:tcPr>
          <w:p w14:paraId="6AE8B83B">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本项目不收取</w:t>
            </w:r>
          </w:p>
        </w:tc>
      </w:tr>
      <w:tr w14:paraId="2F610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406C1481">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5.17</w:t>
            </w:r>
          </w:p>
        </w:tc>
        <w:tc>
          <w:tcPr>
            <w:tcW w:w="1842" w:type="dxa"/>
            <w:vAlign w:val="center"/>
          </w:tcPr>
          <w:p w14:paraId="31AAF07B">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招标代理服务费</w:t>
            </w:r>
          </w:p>
        </w:tc>
        <w:tc>
          <w:tcPr>
            <w:tcW w:w="5953" w:type="dxa"/>
            <w:vAlign w:val="center"/>
          </w:tcPr>
          <w:p w14:paraId="16F57BB3">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本项目的招标代理费由中标人支付，代理服务费金额以成交金额为计算基数，按国家计委关于印发《招标代理服务收费管理暂行办法》的通知计价格[2002]1980号文件的收费标准的8折收取，不足4000元按4000元收取。</w:t>
            </w:r>
          </w:p>
        </w:tc>
      </w:tr>
      <w:tr w14:paraId="72B99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2" w:type="dxa"/>
            <w:vAlign w:val="center"/>
          </w:tcPr>
          <w:p w14:paraId="3F7396DF">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6</w:t>
            </w:r>
          </w:p>
        </w:tc>
        <w:tc>
          <w:tcPr>
            <w:tcW w:w="1842" w:type="dxa"/>
            <w:vAlign w:val="center"/>
          </w:tcPr>
          <w:p w14:paraId="05263C80">
            <w:pPr>
              <w:pStyle w:val="68"/>
              <w:snapToGrid w:val="0"/>
              <w:spacing w:after="0" w:line="360" w:lineRule="auto"/>
              <w:ind w:firstLine="0" w:firstLineChars="0"/>
              <w:jc w:val="center"/>
              <w:rPr>
                <w:rFonts w:hint="eastAsia" w:ascii="宋体" w:hAnsi="宋体" w:eastAsia="宋体" w:cs="宋体"/>
              </w:rPr>
            </w:pPr>
            <w:r>
              <w:rPr>
                <w:rFonts w:hint="eastAsia" w:ascii="宋体" w:hAnsi="宋体" w:eastAsia="宋体" w:cs="宋体"/>
              </w:rPr>
              <w:t>其他</w:t>
            </w:r>
          </w:p>
        </w:tc>
        <w:tc>
          <w:tcPr>
            <w:tcW w:w="5953" w:type="dxa"/>
            <w:vAlign w:val="center"/>
          </w:tcPr>
          <w:p w14:paraId="380912AF">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1、请各投标人收到本文件后自行核对，如有缺页、错装等情况请于当日向招标代理机构提出，如未提出，所有责任及由此造成的后果由投标人自负。</w:t>
            </w:r>
          </w:p>
          <w:p w14:paraId="617D9A03">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2、请投标人仔细阅读本招标文件，其中带“▲”标记的条款为实质性内容，投标人须对带“▲”标记的条款作出实质性响应。</w:t>
            </w:r>
          </w:p>
          <w:p w14:paraId="1FFF15C9">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3、投标与开标注意事项：</w:t>
            </w:r>
          </w:p>
          <w:p w14:paraId="7E7AA0A7">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1.本项目实行网上投标，采用电子投标文件。若投标人参与投标，自行承担投标一切费用。</w:t>
            </w:r>
          </w:p>
          <w:p w14:paraId="6CA87A57">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2.标前准备：各投标人应在开标前完成CA数字证书办理。投标人将乐采云电子交易客户端下载、安装完成后，可通过账号密码或CA登录客户端进行投标文件制作。在使用乐采云投标客户端时，建议使用WIN7及以上操作系统。</w:t>
            </w:r>
          </w:p>
          <w:p w14:paraId="6D469CCA">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注：投标人CA相关操作可参考乐采云平台https://www.lecaiyun.com/《CA申领操作指南》和《CA管理操作指南》。完成CA数字证书办理在资料齐全的情况下预计7个工作日左右，建议投标人获取招标文件后立即办理。</w:t>
            </w:r>
          </w:p>
          <w:p w14:paraId="41E27D38">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3.投标文件制作、递交、解密：</w:t>
            </w:r>
          </w:p>
          <w:p w14:paraId="53E20CC9">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3.1应按照本项目招标文件和乐采云平台的要求编制、加密传输投标文件。投标人在使用系统进行投标的过程中遇到涉及平台使用的任何问题，可致电乐采云平台技术支持热线咨询，联系方式：95763。</w:t>
            </w:r>
          </w:p>
          <w:p w14:paraId="57AF30F4">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3.2投标人通过“乐采云”平台制作电子投标文件，投标文件制作详见“</w:t>
            </w:r>
            <w:r>
              <w:rPr>
                <w:rFonts w:hint="eastAsia" w:ascii="宋体" w:hAnsi="宋体" w:cs="宋体"/>
                <w:lang w:eastAsia="zh-CN"/>
              </w:rPr>
              <w:t>投标人</w:t>
            </w:r>
            <w:r>
              <w:rPr>
                <w:rFonts w:hint="eastAsia" w:ascii="宋体" w:hAnsi="宋体" w:eastAsia="宋体" w:cs="宋体"/>
              </w:rPr>
              <w:t>-采购项目电子交易操作指南”。</w:t>
            </w:r>
          </w:p>
          <w:p w14:paraId="074176C1">
            <w:pPr>
              <w:pStyle w:val="68"/>
              <w:snapToGrid w:val="0"/>
              <w:spacing w:after="0" w:line="360" w:lineRule="auto"/>
              <w:ind w:firstLine="0" w:firstLineChars="0"/>
              <w:jc w:val="left"/>
              <w:rPr>
                <w:rFonts w:hint="eastAsia" w:ascii="宋体" w:hAnsi="宋体" w:eastAsia="宋体" w:cs="宋体"/>
              </w:rPr>
            </w:pPr>
            <w:r>
              <w:rPr>
                <w:rFonts w:hint="eastAsia" w:ascii="宋体" w:hAnsi="宋体" w:eastAsia="宋体" w:cs="宋体"/>
              </w:rPr>
              <w:t>3.3开标时间后30分钟内投标人可以登录“乐采云”平台，用“项目采购-开标评标”功能进行解密投标文件。若投标人未按时解密的，视为投标文件撤回。</w:t>
            </w:r>
          </w:p>
        </w:tc>
      </w:tr>
    </w:tbl>
    <w:p w14:paraId="3F2F3566">
      <w:pPr>
        <w:pStyle w:val="3"/>
        <w:rPr>
          <w:rFonts w:hint="eastAsia" w:ascii="宋体" w:hAnsi="宋体" w:cs="宋体"/>
          <w:szCs w:val="21"/>
        </w:rPr>
      </w:pPr>
      <w:r>
        <w:rPr>
          <w:rFonts w:hint="eastAsia" w:ascii="宋体" w:hAnsi="宋体" w:eastAsia="宋体" w:cs="宋体"/>
        </w:rPr>
        <w:br w:type="page"/>
      </w:r>
      <w:bookmarkEnd w:id="7"/>
      <w:bookmarkEnd w:id="8"/>
      <w:bookmarkEnd w:id="9"/>
      <w:bookmarkStart w:id="11" w:name="_Toc32422"/>
      <w:bookmarkStart w:id="12" w:name="_Toc82338238"/>
      <w:bookmarkStart w:id="13" w:name="_Toc211745567"/>
      <w:bookmarkStart w:id="14" w:name="_Toc82873321"/>
      <w:r>
        <w:rPr>
          <w:rFonts w:hint="eastAsia" w:ascii="宋体" w:hAnsi="宋体" w:eastAsia="宋体" w:cs="宋体"/>
          <w:color w:val="auto"/>
        </w:rPr>
        <w:t>第三章  投标人须知</w:t>
      </w:r>
      <w:bookmarkEnd w:id="11"/>
      <w:bookmarkEnd w:id="12"/>
      <w:bookmarkEnd w:id="13"/>
      <w:bookmarkEnd w:id="14"/>
    </w:p>
    <w:p w14:paraId="4DB4B759">
      <w:pPr>
        <w:spacing w:after="0" w:line="360" w:lineRule="auto"/>
        <w:ind w:firstLine="420" w:firstLineChars="200"/>
        <w:rPr>
          <w:rFonts w:hint="eastAsia" w:ascii="宋体" w:hAnsi="宋体" w:eastAsia="宋体" w:cs="宋体"/>
          <w:szCs w:val="21"/>
        </w:rPr>
      </w:pPr>
      <w:bookmarkStart w:id="15" w:name="_Toc82873322"/>
      <w:bookmarkStart w:id="16" w:name="_Toc82338239"/>
      <w:r>
        <w:rPr>
          <w:rFonts w:hint="eastAsia" w:ascii="宋体" w:hAnsi="宋体" w:eastAsia="宋体" w:cs="宋体"/>
          <w:szCs w:val="21"/>
        </w:rPr>
        <w:t>一、</w:t>
      </w:r>
      <w:bookmarkEnd w:id="15"/>
      <w:bookmarkEnd w:id="16"/>
      <w:r>
        <w:rPr>
          <w:rFonts w:hint="eastAsia" w:ascii="宋体" w:hAnsi="宋体" w:eastAsia="宋体" w:cs="宋体"/>
          <w:szCs w:val="21"/>
        </w:rPr>
        <w:t>总则</w:t>
      </w:r>
    </w:p>
    <w:p w14:paraId="58E2DA46">
      <w:pPr>
        <w:spacing w:after="0" w:line="360" w:lineRule="auto"/>
        <w:ind w:firstLine="420" w:firstLineChars="200"/>
        <w:rPr>
          <w:rFonts w:hint="eastAsia" w:ascii="宋体" w:hAnsi="宋体" w:eastAsia="宋体" w:cs="宋体"/>
          <w:szCs w:val="21"/>
        </w:rPr>
      </w:pPr>
      <w:bookmarkStart w:id="17" w:name="_Toc82338240"/>
      <w:bookmarkStart w:id="18" w:name="_Toc82873323"/>
      <w:r>
        <w:rPr>
          <w:rFonts w:hint="eastAsia" w:ascii="宋体" w:hAnsi="宋体" w:eastAsia="宋体" w:cs="宋体"/>
          <w:szCs w:val="21"/>
        </w:rPr>
        <w:t>1.1 实施依据</w:t>
      </w:r>
    </w:p>
    <w:p w14:paraId="5E02A92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1.1.1本次招标工作依据《中华人民共和国招标投标法》相关法律法规规定进行组织和实施。</w:t>
      </w:r>
    </w:p>
    <w:p w14:paraId="3C180ED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1.2 招标方式</w:t>
      </w:r>
    </w:p>
    <w:p w14:paraId="5507FBC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1.2.1公开招标。</w:t>
      </w:r>
    </w:p>
    <w:p w14:paraId="5E6AD7C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 定义</w:t>
      </w:r>
    </w:p>
    <w:p w14:paraId="47A4873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1.3.1招标人：是指依法进行本项目招标的企事业单位，见“投标人须知前附表”；</w:t>
      </w:r>
    </w:p>
    <w:p w14:paraId="4B9E1A1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1.3.2招标代理机构：受招标人委托，在委托的范围内办理招标事宜的机构，见“投标人须知前附表”；</w:t>
      </w:r>
    </w:p>
    <w:p w14:paraId="7896037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1.3.3投标人：是指参加本招标项目投标的投标人； </w:t>
      </w:r>
    </w:p>
    <w:p w14:paraId="32BBDC0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1.3.4投标人代表：是指参加本项目投标活动的投标人法定代表人或法定代表人授权代表；</w:t>
      </w:r>
    </w:p>
    <w:p w14:paraId="64B2B34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1.3.5投标联合体：是指两个以上投标人组成联合体，以一个投标人的身份参加投标；</w:t>
      </w:r>
    </w:p>
    <w:p w14:paraId="4913EAD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1.3.6甲方：是指合同签订的一方，一般与招标人、用户相同；</w:t>
      </w:r>
    </w:p>
    <w:p w14:paraId="7360AE5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1.3.7乙方：是指合同签订的另一方，与中标人相同；</w:t>
      </w:r>
    </w:p>
    <w:p w14:paraId="57059F4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1.3.8制造商：是指拥有投标产品自主知识产权的单位。</w:t>
      </w:r>
    </w:p>
    <w:p w14:paraId="1E01577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1.4 联合体投标</w:t>
      </w:r>
    </w:p>
    <w:p w14:paraId="1796D8E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1.4.1不接受联合体投标。</w:t>
      </w:r>
    </w:p>
    <w:p w14:paraId="6BDCB9F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1.5 投标费用</w:t>
      </w:r>
    </w:p>
    <w:p w14:paraId="4E0B051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1.5.1无论招投标过程中的做法和结果如何，投标人自行承担招投标活动中所发生的全部费用。</w:t>
      </w:r>
    </w:p>
    <w:p w14:paraId="33D0508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1.6 保密</w:t>
      </w:r>
    </w:p>
    <w:p w14:paraId="0616017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1.6.1参与招标投标活动的各方应对招标文件和投标文件中的商业和技术等秘密保密，违者应对此造成的后果承担法律责任。</w:t>
      </w:r>
    </w:p>
    <w:p w14:paraId="22FBE0E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1.7 语言文字</w:t>
      </w:r>
    </w:p>
    <w:p w14:paraId="7230511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1.7.1除专用术语外，与招标投标有关的语言使用中文。专用术语应附有中文注释。</w:t>
      </w:r>
    </w:p>
    <w:p w14:paraId="702AF0A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1.8 计量单位</w:t>
      </w:r>
    </w:p>
    <w:p w14:paraId="7ACA937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1.8.1所有计量均采用中华人民共和国法定计量单位。</w:t>
      </w:r>
    </w:p>
    <w:p w14:paraId="6D7A83D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1.9 踏勘现场</w:t>
      </w:r>
    </w:p>
    <w:p w14:paraId="0A5DD96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1.9.1投标人须知前附表规定组织踏勘现场的，招标人按投标人须知前附表规定的时间、地点组织投标人踏勘项目现场。</w:t>
      </w:r>
    </w:p>
    <w:p w14:paraId="64ED32D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1.9.2投标人踏勘现场发生的费用自理。</w:t>
      </w:r>
    </w:p>
    <w:p w14:paraId="3C52E26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1.9.3除招标人的原因外，投标人自行负责在踏勘现场中所发生的人员伤亡和财产损失。</w:t>
      </w:r>
    </w:p>
    <w:p w14:paraId="2DA66A8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1.9.4招标人在踏勘现场中介绍的场地和相关的周边环境情况，供投标人在编制投标文件时参考，招标人不对投标人据此作出的判断和决策负责。</w:t>
      </w:r>
    </w:p>
    <w:p w14:paraId="71478DC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1.10 答疑会</w:t>
      </w:r>
    </w:p>
    <w:p w14:paraId="12AD557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1.10.1投标人须知前附表规定召开答疑会的，招标人按投标人须知前附表规定的时间和地点召开答疑会，澄清投标人提出的问题。</w:t>
      </w:r>
    </w:p>
    <w:p w14:paraId="5D01086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1.10.2投标人应在答疑会时间的前一天，以书面形式将提出的问题送达招标人，以便招标人在会议期间澄清。</w:t>
      </w:r>
    </w:p>
    <w:p w14:paraId="4C2DC1D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1.10.3答疑会后，招标人按本章2.4款规定对投标人所提问题进行澄清答复。</w:t>
      </w:r>
    </w:p>
    <w:p w14:paraId="631CC80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1.11 分包</w:t>
      </w:r>
    </w:p>
    <w:p w14:paraId="3C45BB9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1.11.1投标人须知前附表规定允许分包的，投标人应当在投标文件载明分包的具体情况，应符合招标人在投标人须知前附表规定的分包内容、分包金额和接受分包的第三人资质要求等限制条件。</w:t>
      </w:r>
    </w:p>
    <w:p w14:paraId="6AD608B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1.12 偏离</w:t>
      </w:r>
    </w:p>
    <w:p w14:paraId="508D815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1.12.1投标文件应完全响应招标文件规定的实质性内容和条件。</w:t>
      </w:r>
    </w:p>
    <w:p w14:paraId="4A259DA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 其他说明</w:t>
      </w:r>
    </w:p>
    <w:p w14:paraId="084415F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1.13.1参加本项目投标并由单位负责人签署的相关投标资料与本招标文件规定由法定代表人签署的文件材料具有同等效力。</w:t>
      </w:r>
    </w:p>
    <w:p w14:paraId="131231E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1.13.2</w:t>
      </w:r>
      <w:r>
        <w:rPr>
          <w:rFonts w:hint="eastAsia" w:ascii="宋体" w:hAnsi="宋体" w:eastAsia="宋体" w:cs="宋体"/>
          <w:b/>
          <w:bCs/>
          <w:szCs w:val="21"/>
          <w:u w:val="single"/>
        </w:rPr>
        <w:t>▲投标人对所投标项内的招标内容必须全部进行投标。</w:t>
      </w:r>
    </w:p>
    <w:p w14:paraId="61CE1CE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1.13.3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做出不利的评审。</w:t>
      </w:r>
    </w:p>
    <w:p w14:paraId="360DF19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1.13.4 招标文件中如有描述歧义或前后不一致的地方，评标委员会有权按公平、合理的原则进行评判，但对同一条款的评判适用于每个投标人。</w:t>
      </w:r>
    </w:p>
    <w:p w14:paraId="72C67E1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1.13.5投标文件的响应内容必须真实、明确、准确。否则，评标委员会将对其做出不利的评审。</w:t>
      </w:r>
    </w:p>
    <w:p w14:paraId="0F77B8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1.13.6乙方为履行合同引起的相关人员的差旅费、食宿费以及其它费用由乙方自理。合同实施过程中，须与</w:t>
      </w:r>
      <w:r>
        <w:rPr>
          <w:rFonts w:hint="eastAsia" w:ascii="宋体" w:hAnsi="宋体" w:cs="宋体"/>
          <w:szCs w:val="21"/>
          <w:lang w:eastAsia="zh-CN"/>
        </w:rPr>
        <w:t>招标人</w:t>
      </w:r>
      <w:r>
        <w:rPr>
          <w:rFonts w:hint="eastAsia" w:ascii="宋体" w:hAnsi="宋体" w:eastAsia="宋体" w:cs="宋体"/>
          <w:szCs w:val="21"/>
        </w:rPr>
        <w:t>积极配合。</w:t>
      </w:r>
    </w:p>
    <w:p w14:paraId="79F947E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1.13.7项目资金已落实。</w:t>
      </w:r>
    </w:p>
    <w:p w14:paraId="0BC7172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1.13.8投标人须对所投产品、方案、技术、服务等拥有合法的占有、使用、收益、处分的权利，并对涉及项目的所有内容可能侵权行为指控负责，保证不伤害招标人的利益。在法律范围内，如果出现文字、图片、商标和技术等侵权行为而造成的纠纷和产生的一切费用，招标人概不负责，由此给招标人造成损失的，投标人应承担相应后果，并负责赔偿。投标人为执行本项目合同而提供的技术资料等归招标人所有。</w:t>
      </w:r>
    </w:p>
    <w:p w14:paraId="6A1C43F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1.13.9为证明投标人拥有的人员、业绩、荣誉、知识产权、项目案例等而在投标文件中提供的证明材料必须为投标人自身所有。不同法人、其他组织的资料与投标人无关。招标文件另有约定的除外。</w:t>
      </w:r>
    </w:p>
    <w:p w14:paraId="1FF5073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二、招标文件</w:t>
      </w:r>
      <w:bookmarkEnd w:id="17"/>
      <w:bookmarkEnd w:id="18"/>
    </w:p>
    <w:p w14:paraId="4B929D9A">
      <w:pPr>
        <w:spacing w:after="0" w:line="360" w:lineRule="auto"/>
        <w:ind w:firstLine="420" w:firstLineChars="200"/>
        <w:rPr>
          <w:rFonts w:hint="eastAsia" w:ascii="宋体" w:hAnsi="宋体" w:eastAsia="宋体" w:cs="宋体"/>
          <w:szCs w:val="21"/>
        </w:rPr>
      </w:pPr>
      <w:bookmarkStart w:id="19" w:name="_Toc82873324"/>
      <w:bookmarkStart w:id="20" w:name="_Toc82338241"/>
      <w:r>
        <w:rPr>
          <w:rFonts w:hint="eastAsia" w:ascii="宋体" w:hAnsi="宋体" w:eastAsia="宋体" w:cs="宋体"/>
          <w:szCs w:val="21"/>
        </w:rPr>
        <w:t>2.1 招标文件组成</w:t>
      </w:r>
    </w:p>
    <w:p w14:paraId="2D7CDF4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2.1.1招标文件目录里明确的内容及补充文件（如有）。</w:t>
      </w:r>
    </w:p>
    <w:p w14:paraId="7B4B46C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2.2 招标文件的解释权</w:t>
      </w:r>
    </w:p>
    <w:p w14:paraId="6161B17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2.2.1招标文件的解释权归招标人和招标代理机构所有。</w:t>
      </w:r>
    </w:p>
    <w:p w14:paraId="67C2A39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2.3 招标文件的异议</w:t>
      </w:r>
    </w:p>
    <w:p w14:paraId="0CCAEF8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2.3.1对招标文件有异议的，应当在投标截止时间</w:t>
      </w:r>
      <w:r>
        <w:rPr>
          <w:rFonts w:hint="eastAsia" w:ascii="宋体" w:hAnsi="宋体" w:eastAsia="宋体" w:cs="宋体"/>
          <w:szCs w:val="21"/>
          <w:lang w:val="en-US" w:eastAsia="zh-CN"/>
        </w:rPr>
        <w:t>5</w:t>
      </w:r>
      <w:r>
        <w:rPr>
          <w:rFonts w:hint="eastAsia" w:ascii="宋体" w:hAnsi="宋体" w:eastAsia="宋体" w:cs="宋体"/>
          <w:szCs w:val="21"/>
        </w:rPr>
        <w:t>日前提出。招标人自收到异议之日起3日内作出答复。</w:t>
      </w:r>
    </w:p>
    <w:p w14:paraId="2DE4906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2.4 招标文件的澄清</w:t>
      </w:r>
    </w:p>
    <w:p w14:paraId="221CBCB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2.4.1招标人可以对已发出的招标文件进行必要的澄清或者修改。澄清或者修改的内容可能影响投标文件编制的，招标人在投标截止时间至少3日前，以书面形式通知所有获取招标文件的潜在投标人。</w:t>
      </w:r>
    </w:p>
    <w:p w14:paraId="7F7D913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2.4.2投标人对招标文件如有疑问要求澄清，或认为有必要与招标代理机构进行技术交流，请在投标截止时间</w:t>
      </w:r>
      <w:r>
        <w:rPr>
          <w:rFonts w:hint="eastAsia" w:ascii="宋体" w:hAnsi="宋体" w:eastAsia="宋体" w:cs="宋体"/>
          <w:szCs w:val="21"/>
          <w:lang w:val="en-US" w:eastAsia="zh-CN"/>
        </w:rPr>
        <w:t>5</w:t>
      </w:r>
      <w:r>
        <w:rPr>
          <w:rFonts w:hint="eastAsia" w:ascii="宋体" w:hAnsi="宋体" w:eastAsia="宋体" w:cs="宋体"/>
          <w:szCs w:val="21"/>
        </w:rPr>
        <w:t>日前，将书面资料传真或送达至招标代理机构，同时将电子文件发至投标人须知前附表注明的邮箱（电子邮件与书面文件有不一致的，以书面文件为准），并与招标代理机构进行确认。</w:t>
      </w:r>
    </w:p>
    <w:p w14:paraId="140D749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2.4.3 投标人要求澄清的资料应加盖单位公章、写明日期。</w:t>
      </w:r>
    </w:p>
    <w:p w14:paraId="18093D2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2.4.4 如有必要，招标代理机构和招标人对投标人所有要求澄清的问题都予以解答，澄清答复的文件为补充文件，作为招标文件的组成部分，补充文件将以传真等形式告知所有购买招标文件的投标人，补充文件对投标人均有约束力。</w:t>
      </w:r>
    </w:p>
    <w:p w14:paraId="3DD2DCF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2.4.5当招标文件与补充文件就同一内容的表述不一致时，以最后发出的书面文件为准。</w:t>
      </w:r>
    </w:p>
    <w:p w14:paraId="193520B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 招标文件的修改</w:t>
      </w:r>
    </w:p>
    <w:p w14:paraId="42AAF8F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2.5.1 在投标截止时间前，由于各种原因招标人可能以补充文件的形式修改完善招标文件。</w:t>
      </w:r>
    </w:p>
    <w:p w14:paraId="505C8F7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2.5.2补充文件作为招标文件组成部分，补充文件将以传真等形式告知所有购买招标文件的投标人，补充文件对投标人均有约束力。</w:t>
      </w:r>
    </w:p>
    <w:p w14:paraId="58CCD6A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2.5.3修改的内容可能影响投标文件编制的，招标人或者招标代理机构在投标截止时间至少3日前，以书面形式通知所有获取招标文件的潜在投标人；不足3日的，招标人或者招标代理机构将顺延提交投标文件的截止时间。</w:t>
      </w:r>
    </w:p>
    <w:p w14:paraId="709723C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2.5.4投标人在收到补充文件后，应在24小时内以书面形式向招标代理机构确认已收到该补充文件。</w:t>
      </w:r>
    </w:p>
    <w:p w14:paraId="6D7244C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2.5.5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w:t>
      </w:r>
    </w:p>
    <w:p w14:paraId="0E9ACE3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2.5.6投标人要求澄清的资料应加盖单位公章、写明日期。</w:t>
      </w:r>
    </w:p>
    <w:p w14:paraId="4A0EA4C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2.5.7当招标文件与补充文件就同一内容的表述不一致时，以最后发出的书面文件为准。</w:t>
      </w:r>
    </w:p>
    <w:p w14:paraId="1B656C4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2.5.8任何口头答复均不属于招标文件的组成部分。</w:t>
      </w:r>
    </w:p>
    <w:p w14:paraId="58300EB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三、投标文件</w:t>
      </w:r>
      <w:bookmarkEnd w:id="19"/>
      <w:bookmarkEnd w:id="20"/>
    </w:p>
    <w:p w14:paraId="610B43F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 投标文件</w:t>
      </w:r>
    </w:p>
    <w:p w14:paraId="7F78087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3.1.1 投标人应仔细阅读招标文件规定的所有内容，以保证能全面准确理解招标文件，并按照招标文件要求，详细编制投标文件，投标文件内容必须针对本次招标响应。</w:t>
      </w:r>
    </w:p>
    <w:p w14:paraId="19F4F9C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3.1.2投标人必须按招标文件的要求提供相关资料，并对招标文件中提出的所有内容要求给予实质性响应，须保证投标文件的准确、真实、明确。投标文件响应内容对招标文件要求如有偏离均应填写偏离表，如不填写，招标人有权视作投标文件完全响应招标文件要求。</w:t>
      </w:r>
    </w:p>
    <w:p w14:paraId="4CC1408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 投标文件组成</w:t>
      </w:r>
    </w:p>
    <w:p w14:paraId="4AE6A79A">
      <w:pPr>
        <w:spacing w:after="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投标文件由“资格文件”、“商务技术（资信）文件”、“报价文件”三部分组成，其中电子投标文件中所须加盖公章部分均应采用电子签章。格式和内容要求见《第六章 投标文件格式》</w:t>
      </w:r>
      <w:r>
        <w:rPr>
          <w:rFonts w:hint="eastAsia" w:ascii="宋体" w:hAnsi="宋体" w:eastAsia="宋体" w:cs="宋体"/>
          <w:szCs w:val="21"/>
          <w:lang w:eastAsia="zh-CN"/>
        </w:rPr>
        <w:t>。</w:t>
      </w:r>
    </w:p>
    <w:p w14:paraId="34AF686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3.3 投标文件的编制</w:t>
      </w:r>
    </w:p>
    <w:p w14:paraId="70881A9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3.3.1 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3775723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3.3.2</w:t>
      </w:r>
      <w:r>
        <w:rPr>
          <w:rFonts w:hint="eastAsia" w:ascii="宋体" w:hAnsi="宋体" w:eastAsia="宋体" w:cs="宋体"/>
          <w:szCs w:val="21"/>
        </w:rPr>
        <w:t>投标人进行电子投标应安装客户端软件—“乐采云电子交易客户端”，并按照招标文件和电子交易平台的要求编制并加密投标文件。投标人未按规定加密的投标文件，电子交易平台将拒收并提示。</w:t>
      </w:r>
    </w:p>
    <w:p w14:paraId="53A2F77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.3使用“乐采云电子交易客户端”需要提前申领CA数字证书，申领流程请自行前往“</w:t>
      </w:r>
      <w:r>
        <w:rPr>
          <w:rFonts w:hint="eastAsia" w:ascii="宋体" w:hAnsi="宋体" w:cs="宋体"/>
          <w:szCs w:val="21"/>
          <w:lang w:eastAsia="zh-CN"/>
        </w:rPr>
        <w:t>zfcg.czt.zj.gov.cn</w:t>
      </w:r>
      <w:r>
        <w:rPr>
          <w:rFonts w:hint="eastAsia" w:ascii="宋体" w:hAnsi="宋体" w:eastAsia="宋体" w:cs="宋体"/>
          <w:szCs w:val="21"/>
        </w:rPr>
        <w:t>-下载专区-电子交易客户端-CA驱动和申领流程”进行查阅。</w:t>
      </w:r>
    </w:p>
    <w:p w14:paraId="5A60DF4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.4投标文件按照招标文件</w:t>
      </w:r>
      <w:r>
        <w:rPr>
          <w:rFonts w:hint="eastAsia" w:ascii="宋体" w:hAnsi="宋体" w:eastAsia="宋体" w:cs="宋体"/>
          <w:szCs w:val="21"/>
          <w:lang w:val="en-US" w:eastAsia="zh-CN"/>
        </w:rPr>
        <w:t>投标文件</w:t>
      </w:r>
      <w:r>
        <w:rPr>
          <w:rFonts w:hint="eastAsia" w:ascii="宋体" w:hAnsi="宋体" w:eastAsia="宋体" w:cs="宋体"/>
          <w:szCs w:val="21"/>
        </w:rPr>
        <w:t>格式要求进行签署、盖章。投标人的投标文件未按照招标文件要求签署、盖章的，其投标无效。</w:t>
      </w:r>
    </w:p>
    <w:p w14:paraId="4AA4618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.5为确保网上操作合法、有效和安全，投标人应当在投标截止时间前完成在“乐采云平台”的身份认证，确保在电子投标过程中能够对相关数据电文进行加密和使用电子签名。</w:t>
      </w:r>
    </w:p>
    <w:p w14:paraId="365DF8E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.6招标文件对投标文件签署、盖章的要求适用于电子签名。</w:t>
      </w:r>
    </w:p>
    <w:p w14:paraId="5824837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3.4 投标报价</w:t>
      </w:r>
    </w:p>
    <w:p w14:paraId="1442B306">
      <w:pPr>
        <w:spacing w:after="0" w:line="360" w:lineRule="auto"/>
        <w:ind w:firstLine="420" w:firstLineChars="200"/>
        <w:rPr>
          <w:rFonts w:hint="eastAsia" w:ascii="宋体" w:hAnsi="宋体" w:eastAsia="宋体" w:cs="宋体"/>
          <w:szCs w:val="21"/>
          <w:u w:val="none"/>
        </w:rPr>
      </w:pPr>
      <w:r>
        <w:rPr>
          <w:rFonts w:hint="eastAsia" w:ascii="宋体" w:hAnsi="宋体" w:eastAsia="宋体" w:cs="宋体"/>
          <w:szCs w:val="21"/>
          <w:u w:val="none"/>
        </w:rPr>
        <w:t xml:space="preserve">3.4.1 </w:t>
      </w:r>
      <w:r>
        <w:rPr>
          <w:rFonts w:hint="eastAsia" w:ascii="宋体" w:hAnsi="宋体" w:eastAsia="宋体" w:cs="宋体"/>
          <w:szCs w:val="21"/>
          <w:u w:val="single"/>
        </w:rPr>
        <w:t>▲本次投标报价为含税人民币价</w:t>
      </w:r>
      <w:r>
        <w:rPr>
          <w:rFonts w:hint="eastAsia" w:ascii="宋体" w:hAnsi="宋体" w:eastAsia="宋体" w:cs="宋体"/>
          <w:szCs w:val="21"/>
          <w:u w:val="none"/>
        </w:rPr>
        <w:t>。</w:t>
      </w:r>
    </w:p>
    <w:p w14:paraId="209C824F">
      <w:pPr>
        <w:spacing w:after="0"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3.4.2投标报价包括完成所有产品供货、履行所有规定服务及2027年12月31日前服务所产生的全部费用(含集团公司及国瑞科技二级部署的产品费、实施费、开发费以及上线后年费、服务费等</w:t>
      </w:r>
      <w:r>
        <w:rPr>
          <w:rFonts w:hint="eastAsia" w:ascii="宋体" w:hAnsi="宋体" w:cs="宋体"/>
          <w:b/>
          <w:bCs/>
          <w:szCs w:val="21"/>
          <w:highlight w:val="none"/>
          <w:lang w:eastAsia="zh-CN"/>
        </w:rPr>
        <w:t>）</w:t>
      </w:r>
      <w:r>
        <w:rPr>
          <w:rFonts w:hint="eastAsia" w:ascii="宋体" w:hAnsi="宋体" w:eastAsia="宋体" w:cs="宋体"/>
          <w:b/>
          <w:bCs/>
          <w:szCs w:val="21"/>
          <w:highlight w:val="none"/>
        </w:rPr>
        <w:t>，产品及服务须达到招标文件规定的质量标准及使用要求。</w:t>
      </w:r>
    </w:p>
    <w:p w14:paraId="02492E7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3.4.3报价应按不同费用构成分开填写，具体详见“投标文件格式”。</w:t>
      </w:r>
    </w:p>
    <w:p w14:paraId="1ADD7FF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3.4.4 </w:t>
      </w:r>
      <w:r>
        <w:rPr>
          <w:rFonts w:hint="eastAsia" w:ascii="宋体" w:hAnsi="宋体" w:eastAsia="宋体" w:cs="宋体"/>
          <w:szCs w:val="21"/>
          <w:u w:val="single"/>
        </w:rPr>
        <w:t>▲所投标项只允许有一个报价，不接受有选择报价的投标文件</w:t>
      </w:r>
      <w:r>
        <w:rPr>
          <w:rFonts w:hint="eastAsia" w:ascii="宋体" w:hAnsi="宋体" w:eastAsia="宋体" w:cs="宋体"/>
          <w:szCs w:val="21"/>
        </w:rPr>
        <w:t>。</w:t>
      </w:r>
    </w:p>
    <w:p w14:paraId="71F3004C">
      <w:pPr>
        <w:spacing w:after="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3.5 投标保证金</w:t>
      </w:r>
      <w:r>
        <w:rPr>
          <w:rFonts w:hint="eastAsia" w:ascii="宋体" w:hAnsi="宋体" w:eastAsia="宋体" w:cs="宋体"/>
          <w:szCs w:val="21"/>
          <w:lang w:eastAsia="zh-CN"/>
        </w:rPr>
        <w:t>（</w:t>
      </w:r>
      <w:r>
        <w:rPr>
          <w:rFonts w:hint="eastAsia" w:ascii="宋体" w:hAnsi="宋体" w:eastAsia="宋体" w:cs="宋体"/>
          <w:szCs w:val="21"/>
          <w:lang w:val="en-US" w:eastAsia="zh-CN"/>
        </w:rPr>
        <w:t>本项目不适用</w:t>
      </w:r>
      <w:r>
        <w:rPr>
          <w:rFonts w:hint="eastAsia" w:ascii="宋体" w:hAnsi="宋体" w:eastAsia="宋体" w:cs="宋体"/>
          <w:szCs w:val="21"/>
          <w:lang w:eastAsia="zh-CN"/>
        </w:rPr>
        <w:t>）</w:t>
      </w:r>
    </w:p>
    <w:p w14:paraId="2918FE6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3.5.1 投标人须按“投标人须知前附表”的规定提供投标保证金。</w:t>
      </w:r>
    </w:p>
    <w:p w14:paraId="2DF9EE5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3.5.2 在中标通知书发出后五个工作日内退还未中标投标人的投标保证金，未中标投标人凭投标保证金缴纳凭证办理投标保证金退还手续。</w:t>
      </w:r>
    </w:p>
    <w:p w14:paraId="58FC90B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3.5.3 在合同签订后五个工作日内退还中标投标人的投标保证金，中标投标人在与招标人签订合同后凭合同原件办理投标保证金退还手续。</w:t>
      </w:r>
    </w:p>
    <w:p w14:paraId="580887C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3.5.4 有下列情况之一，将不予退还投标人交纳的投标保证金。</w:t>
      </w:r>
    </w:p>
    <w:p w14:paraId="12E0E3F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3.5.4.1 </w:t>
      </w:r>
      <w:r>
        <w:rPr>
          <w:rFonts w:hint="eastAsia" w:ascii="宋体" w:hAnsi="宋体" w:eastAsia="宋体" w:cs="宋体"/>
          <w:szCs w:val="21"/>
        </w:rPr>
        <w:t>投标人在投标有效期内撤回投标文件；</w:t>
      </w:r>
    </w:p>
    <w:p w14:paraId="7641A40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3.5.4.2 </w:t>
      </w:r>
      <w:r>
        <w:rPr>
          <w:rFonts w:hint="eastAsia" w:ascii="宋体" w:hAnsi="宋体" w:eastAsia="宋体" w:cs="宋体"/>
          <w:szCs w:val="21"/>
        </w:rPr>
        <w:t>中标人无正当理由不与招标人订立合同，在签订合同时向招标人提出附加条件，或者不按照招标文件要求提交履约保证金的，取消其中标资格，投标保证金不予退还。</w:t>
      </w:r>
    </w:p>
    <w:p w14:paraId="3BD282F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3.6 投标文件有效期</w:t>
      </w:r>
    </w:p>
    <w:p w14:paraId="1315271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3.6.1 投标文件有效期按“投标人须知前附表”规定，投标文件应在该有效期内保持有效。合同签订后，投标文件作为合同附件，投标文件有效期同合同有效期。</w:t>
      </w:r>
    </w:p>
    <w:p w14:paraId="4AC31EB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3.6.2 在特殊情况下，招标人可与投标人协商延长投标文件有效期，这种要求和答复均应以书面形式进行。</w:t>
      </w:r>
    </w:p>
    <w:p w14:paraId="57AA804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3.6.3 投标人可拒绝接受延期要求而不会导致投标保证金被没收。同意延长有效期的投标人不能修改投标文件。</w:t>
      </w:r>
    </w:p>
    <w:p w14:paraId="36119C63">
      <w:pPr>
        <w:spacing w:after="0" w:line="360" w:lineRule="auto"/>
        <w:ind w:firstLine="420" w:firstLineChars="200"/>
        <w:rPr>
          <w:rFonts w:hint="eastAsia" w:ascii="宋体" w:hAnsi="宋体" w:eastAsia="宋体" w:cs="宋体"/>
          <w:szCs w:val="21"/>
        </w:rPr>
      </w:pPr>
      <w:bookmarkStart w:id="21" w:name="_Toc82338242"/>
      <w:bookmarkStart w:id="22" w:name="_Toc82873325"/>
      <w:r>
        <w:rPr>
          <w:rFonts w:hint="eastAsia" w:ascii="宋体" w:hAnsi="宋体" w:eastAsia="宋体" w:cs="宋体"/>
          <w:szCs w:val="21"/>
        </w:rPr>
        <w:t>四、投标</w:t>
      </w:r>
      <w:bookmarkEnd w:id="21"/>
      <w:bookmarkEnd w:id="22"/>
    </w:p>
    <w:p w14:paraId="1FF9322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4.1</w:t>
      </w:r>
      <w:r>
        <w:rPr>
          <w:rFonts w:hint="eastAsia" w:ascii="宋体" w:hAnsi="宋体" w:cs="宋体"/>
          <w:szCs w:val="21"/>
          <w:lang w:val="en-US" w:eastAsia="zh-CN"/>
        </w:rPr>
        <w:t xml:space="preserve"> </w:t>
      </w:r>
      <w:r>
        <w:rPr>
          <w:rFonts w:hint="eastAsia" w:ascii="宋体" w:hAnsi="宋体" w:eastAsia="宋体" w:cs="宋体"/>
          <w:szCs w:val="21"/>
        </w:rPr>
        <w:t>“电子加密投标文件”的上传、递交时间及地点：</w:t>
      </w:r>
    </w:p>
    <w:p w14:paraId="4541F55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4.1.1投标</w:t>
      </w:r>
      <w:r>
        <w:rPr>
          <w:rFonts w:hint="eastAsia" w:ascii="宋体" w:hAnsi="宋体" w:cs="宋体"/>
          <w:szCs w:val="21"/>
          <w:lang w:eastAsia="zh-CN"/>
        </w:rPr>
        <w:t>投标人</w:t>
      </w:r>
      <w:r>
        <w:rPr>
          <w:rFonts w:hint="eastAsia" w:ascii="宋体" w:hAnsi="宋体" w:eastAsia="宋体" w:cs="宋体"/>
          <w:szCs w:val="21"/>
        </w:rPr>
        <w:t>应在投标截止时间前将“电子加密投标文件”成功上传递交至“</w:t>
      </w:r>
      <w:r>
        <w:rPr>
          <w:rFonts w:hint="eastAsia" w:ascii="宋体" w:hAnsi="宋体" w:eastAsia="宋体" w:cs="宋体"/>
          <w:szCs w:val="21"/>
          <w:lang w:val="en-US" w:eastAsia="zh-CN"/>
        </w:rPr>
        <w:t>乐采云</w:t>
      </w:r>
      <w:r>
        <w:rPr>
          <w:rFonts w:hint="eastAsia" w:ascii="宋体" w:hAnsi="宋体" w:eastAsia="宋体" w:cs="宋体"/>
          <w:szCs w:val="21"/>
        </w:rPr>
        <w:t>平台”，否则投标无效。</w:t>
      </w:r>
    </w:p>
    <w:p w14:paraId="4818BE1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4.1.2“电子加密投标文件”成功上传递交后，</w:t>
      </w:r>
      <w:r>
        <w:rPr>
          <w:rFonts w:hint="eastAsia" w:ascii="宋体" w:hAnsi="宋体" w:cs="宋体"/>
          <w:szCs w:val="21"/>
          <w:lang w:eastAsia="zh-CN"/>
        </w:rPr>
        <w:t>投标人</w:t>
      </w:r>
      <w:r>
        <w:rPr>
          <w:rFonts w:hint="eastAsia" w:ascii="宋体" w:hAnsi="宋体" w:eastAsia="宋体" w:cs="宋体"/>
          <w:szCs w:val="21"/>
        </w:rPr>
        <w:t>可自行打印投标文件接收回执。</w:t>
      </w:r>
    </w:p>
    <w:p w14:paraId="7CE342D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4.2</w:t>
      </w:r>
      <w:r>
        <w:rPr>
          <w:rFonts w:hint="eastAsia" w:ascii="宋体" w:hAnsi="宋体" w:cs="宋体"/>
          <w:szCs w:val="21"/>
          <w:lang w:val="en-US" w:eastAsia="zh-CN"/>
        </w:rPr>
        <w:t xml:space="preserve"> </w:t>
      </w:r>
      <w:r>
        <w:rPr>
          <w:rFonts w:hint="eastAsia" w:ascii="宋体" w:hAnsi="宋体" w:eastAsia="宋体" w:cs="宋体"/>
          <w:szCs w:val="21"/>
          <w:lang w:val="en-US" w:eastAsia="zh-CN"/>
        </w:rPr>
        <w:t>招标</w:t>
      </w:r>
      <w:r>
        <w:rPr>
          <w:rFonts w:hint="eastAsia" w:ascii="宋体" w:hAnsi="宋体" w:eastAsia="宋体" w:cs="宋体"/>
          <w:szCs w:val="21"/>
        </w:rPr>
        <w:t>人如因故推迟投标截止时间，应以更正公告形式在原公告发布网站通知所有投标人。在这种情况下，</w:t>
      </w:r>
      <w:r>
        <w:rPr>
          <w:rFonts w:hint="eastAsia" w:ascii="宋体" w:hAnsi="宋体" w:eastAsia="宋体" w:cs="宋体"/>
          <w:szCs w:val="21"/>
          <w:lang w:val="en-US" w:eastAsia="zh-CN"/>
        </w:rPr>
        <w:t>招标</w:t>
      </w:r>
      <w:r>
        <w:rPr>
          <w:rFonts w:hint="eastAsia" w:ascii="宋体" w:hAnsi="宋体" w:eastAsia="宋体" w:cs="宋体"/>
          <w:szCs w:val="21"/>
        </w:rPr>
        <w:t>人和投标人的权利和义务将受到新的投标截止时间的约束。</w:t>
      </w:r>
    </w:p>
    <w:p w14:paraId="7CD9C9F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4.3 投标文件的修改和撤回</w:t>
      </w:r>
    </w:p>
    <w:p w14:paraId="31AD46C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4.3.1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4FF9C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4</w:t>
      </w:r>
      <w:r>
        <w:rPr>
          <w:rFonts w:hint="eastAsia" w:ascii="宋体" w:hAnsi="宋体" w:eastAsia="宋体" w:cs="宋体"/>
          <w:szCs w:val="21"/>
          <w:lang w:val="en-US" w:eastAsia="zh-CN"/>
        </w:rPr>
        <w:t>.3</w:t>
      </w:r>
      <w:r>
        <w:rPr>
          <w:rFonts w:hint="eastAsia" w:ascii="宋体" w:hAnsi="宋体" w:eastAsia="宋体" w:cs="宋体"/>
          <w:szCs w:val="21"/>
        </w:rPr>
        <w:t>.2电子交易平台收到投标文件，将妥善保存并即时向投标人发出确认回执通知。在投标截止时间前，除投标人补充、修改或者撤回投标文件外，任何单位和个人不得解密或提取投标文件。</w:t>
      </w:r>
    </w:p>
    <w:p w14:paraId="15C4835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4.3</w:t>
      </w:r>
      <w:r>
        <w:rPr>
          <w:rFonts w:hint="eastAsia" w:ascii="宋体" w:hAnsi="宋体" w:eastAsia="宋体" w:cs="宋体"/>
          <w:szCs w:val="21"/>
        </w:rPr>
        <w:t>.3招标人、</w:t>
      </w:r>
      <w:r>
        <w:rPr>
          <w:rFonts w:hint="eastAsia" w:ascii="宋体" w:hAnsi="宋体" w:cs="宋体"/>
          <w:szCs w:val="21"/>
          <w:lang w:eastAsia="zh-CN"/>
        </w:rPr>
        <w:t>招标代理机构</w:t>
      </w:r>
      <w:r>
        <w:rPr>
          <w:rFonts w:hint="eastAsia" w:ascii="宋体" w:hAnsi="宋体" w:eastAsia="宋体" w:cs="宋体"/>
          <w:szCs w:val="21"/>
        </w:rPr>
        <w:t>可以视情况延长投标文件提交的截止时间。在上述情况下，</w:t>
      </w:r>
      <w:r>
        <w:rPr>
          <w:rFonts w:hint="eastAsia" w:ascii="宋体" w:hAnsi="宋体" w:cs="宋体"/>
          <w:szCs w:val="21"/>
          <w:lang w:eastAsia="zh-CN"/>
        </w:rPr>
        <w:t>招标代理机构</w:t>
      </w:r>
      <w:r>
        <w:rPr>
          <w:rFonts w:hint="eastAsia" w:ascii="宋体" w:hAnsi="宋体" w:eastAsia="宋体" w:cs="宋体"/>
          <w:szCs w:val="21"/>
        </w:rPr>
        <w:t>与投标人以前在投标截止期方面的全部权利、责任和义务，将适用于延长至新的投标截止期。</w:t>
      </w:r>
    </w:p>
    <w:p w14:paraId="6384B4B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4.4 备选投标方案</w:t>
      </w:r>
    </w:p>
    <w:p w14:paraId="6D422C7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4.4.1投标人不得提交备选投标方案，否则，投标文件将被判定为无效标。</w:t>
      </w:r>
    </w:p>
    <w:p w14:paraId="24AD5AAB">
      <w:pPr>
        <w:spacing w:after="0" w:line="360" w:lineRule="auto"/>
        <w:ind w:firstLine="420" w:firstLineChars="200"/>
        <w:rPr>
          <w:rFonts w:hint="eastAsia" w:ascii="宋体" w:hAnsi="宋体" w:eastAsia="宋体" w:cs="宋体"/>
          <w:szCs w:val="21"/>
        </w:rPr>
      </w:pPr>
      <w:bookmarkStart w:id="23" w:name="_Toc82873326"/>
      <w:bookmarkStart w:id="24" w:name="_Toc82338243"/>
      <w:r>
        <w:rPr>
          <w:rFonts w:hint="eastAsia" w:ascii="宋体" w:hAnsi="宋体" w:eastAsia="宋体" w:cs="宋体"/>
          <w:szCs w:val="21"/>
        </w:rPr>
        <w:t>五、电子招投标开标</w:t>
      </w:r>
      <w:r>
        <w:rPr>
          <w:rFonts w:hint="eastAsia" w:ascii="宋体" w:hAnsi="宋体" w:eastAsia="宋体" w:cs="宋体"/>
          <w:szCs w:val="21"/>
          <w:lang w:eastAsia="zh-CN"/>
        </w:rPr>
        <w:t>、</w:t>
      </w:r>
      <w:r>
        <w:rPr>
          <w:rFonts w:hint="eastAsia" w:ascii="宋体" w:hAnsi="宋体" w:eastAsia="宋体" w:cs="宋体"/>
          <w:szCs w:val="21"/>
        </w:rPr>
        <w:t>评审程序</w:t>
      </w:r>
      <w:bookmarkEnd w:id="23"/>
      <w:bookmarkEnd w:id="24"/>
      <w:r>
        <w:rPr>
          <w:rFonts w:hint="eastAsia" w:ascii="宋体" w:hAnsi="宋体" w:eastAsia="宋体" w:cs="宋体"/>
          <w:szCs w:val="21"/>
        </w:rPr>
        <w:t>及合同签订</w:t>
      </w:r>
    </w:p>
    <w:p w14:paraId="57FC2FE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5.1 </w:t>
      </w:r>
      <w:r>
        <w:rPr>
          <w:rFonts w:hint="eastAsia" w:ascii="宋体" w:hAnsi="宋体" w:eastAsia="宋体" w:cs="宋体"/>
          <w:szCs w:val="21"/>
          <w:lang w:val="en-US" w:eastAsia="zh-CN"/>
        </w:rPr>
        <w:t>电子招投标</w:t>
      </w:r>
      <w:r>
        <w:rPr>
          <w:rFonts w:hint="eastAsia" w:ascii="宋体" w:hAnsi="宋体" w:eastAsia="宋体" w:cs="宋体"/>
          <w:szCs w:val="21"/>
        </w:rPr>
        <w:t>开标</w:t>
      </w:r>
    </w:p>
    <w:p w14:paraId="380F23F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5.1</w:t>
      </w:r>
      <w:r>
        <w:rPr>
          <w:rFonts w:hint="eastAsia" w:ascii="宋体" w:hAnsi="宋体" w:eastAsia="宋体" w:cs="宋体"/>
          <w:szCs w:val="21"/>
        </w:rPr>
        <w:t>.1投标截止时间后，主持人宣布开标会开始。</w:t>
      </w:r>
    </w:p>
    <w:p w14:paraId="0BC247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1.2投标人登录乐采云平台，用“项目采购-开标评标”功能对电子投标文件进行在线解密。在线解密电子投标文件时间为开标时间起30分钟内。</w:t>
      </w:r>
    </w:p>
    <w:p w14:paraId="218149F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1.3评标委员会对资格</w:t>
      </w:r>
      <w:r>
        <w:rPr>
          <w:rFonts w:hint="eastAsia" w:ascii="宋体" w:hAnsi="宋体" w:eastAsia="宋体" w:cs="宋体"/>
          <w:szCs w:val="21"/>
          <w:lang w:eastAsia="zh-CN"/>
        </w:rPr>
        <w:t>、</w:t>
      </w:r>
      <w:r>
        <w:rPr>
          <w:rFonts w:hint="eastAsia" w:ascii="宋体" w:hAnsi="宋体" w:eastAsia="宋体" w:cs="宋体"/>
          <w:szCs w:val="21"/>
        </w:rPr>
        <w:t>商务技术响应文件</w:t>
      </w:r>
      <w:r>
        <w:rPr>
          <w:rFonts w:hint="eastAsia" w:ascii="宋体" w:hAnsi="宋体" w:eastAsia="宋体" w:cs="宋体"/>
          <w:szCs w:val="21"/>
          <w:lang w:eastAsia="zh-CN"/>
        </w:rPr>
        <w:t>、</w:t>
      </w:r>
      <w:r>
        <w:rPr>
          <w:rFonts w:hint="eastAsia" w:ascii="宋体" w:hAnsi="宋体" w:eastAsia="宋体" w:cs="宋体"/>
          <w:szCs w:val="21"/>
        </w:rPr>
        <w:t>报价文件进行评审。</w:t>
      </w:r>
    </w:p>
    <w:p w14:paraId="7F4C59E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5.2 不予接收的投标文件</w:t>
      </w:r>
    </w:p>
    <w:p w14:paraId="226E396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5.2.1</w:t>
      </w:r>
      <w:r>
        <w:rPr>
          <w:rFonts w:hint="eastAsia" w:ascii="宋体" w:hAnsi="宋体" w:eastAsia="宋体" w:cs="宋体"/>
          <w:szCs w:val="21"/>
        </w:rPr>
        <w:t>在投标截止时间以后</w:t>
      </w:r>
      <w:r>
        <w:rPr>
          <w:rFonts w:hint="eastAsia" w:ascii="宋体" w:hAnsi="宋体" w:eastAsia="宋体" w:cs="宋体"/>
          <w:szCs w:val="21"/>
          <w:lang w:val="en-US" w:eastAsia="zh-CN"/>
        </w:rPr>
        <w:t>上传</w:t>
      </w:r>
      <w:r>
        <w:rPr>
          <w:rFonts w:hint="eastAsia" w:ascii="宋体" w:hAnsi="宋体" w:eastAsia="宋体" w:cs="宋体"/>
          <w:szCs w:val="21"/>
        </w:rPr>
        <w:t>的投标文件；</w:t>
      </w:r>
    </w:p>
    <w:p w14:paraId="393EB58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5.2.2</w:t>
      </w:r>
      <w:r>
        <w:rPr>
          <w:rFonts w:hint="eastAsia" w:ascii="宋体" w:hAnsi="宋体" w:eastAsia="宋体" w:cs="宋体"/>
          <w:szCs w:val="21"/>
        </w:rPr>
        <w:t>未</w:t>
      </w:r>
      <w:r>
        <w:rPr>
          <w:rFonts w:hint="eastAsia" w:ascii="宋体" w:hAnsi="宋体" w:eastAsia="宋体" w:cs="宋体"/>
          <w:szCs w:val="21"/>
          <w:lang w:val="en-US" w:eastAsia="zh-CN"/>
        </w:rPr>
        <w:t>解密</w:t>
      </w:r>
      <w:r>
        <w:rPr>
          <w:rFonts w:hint="eastAsia" w:ascii="宋体" w:hAnsi="宋体" w:eastAsia="宋体" w:cs="宋体"/>
          <w:szCs w:val="21"/>
        </w:rPr>
        <w:t>的投标文件。</w:t>
      </w:r>
    </w:p>
    <w:p w14:paraId="6036BEC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5.2.3</w:t>
      </w:r>
      <w:r>
        <w:rPr>
          <w:rFonts w:hint="eastAsia" w:ascii="宋体" w:hAnsi="宋体" w:eastAsia="宋体" w:cs="宋体"/>
          <w:szCs w:val="21"/>
        </w:rPr>
        <w:t>未在乐采云平台完成报名的</w:t>
      </w:r>
      <w:r>
        <w:rPr>
          <w:rFonts w:hint="eastAsia" w:ascii="宋体" w:hAnsi="宋体" w:cs="宋体"/>
          <w:szCs w:val="21"/>
          <w:lang w:eastAsia="zh-CN"/>
        </w:rPr>
        <w:t>投标人</w:t>
      </w:r>
      <w:r>
        <w:rPr>
          <w:rFonts w:hint="eastAsia" w:ascii="宋体" w:hAnsi="宋体" w:eastAsia="宋体" w:cs="宋体"/>
          <w:szCs w:val="21"/>
        </w:rPr>
        <w:t>递交的响应文件。</w:t>
      </w:r>
    </w:p>
    <w:p w14:paraId="047E254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特别说明：乐采云公司如对电子化开标及评审程序有调整的，按调整后的程序操作</w:t>
      </w:r>
      <w:r>
        <w:rPr>
          <w:rFonts w:hint="eastAsia" w:ascii="宋体" w:hAnsi="宋体" w:cs="宋体"/>
          <w:szCs w:val="21"/>
          <w:lang w:eastAsia="zh-CN"/>
        </w:rPr>
        <w:t>。</w:t>
      </w:r>
      <w:r>
        <w:rPr>
          <w:rFonts w:hint="eastAsia" w:ascii="宋体" w:hAnsi="宋体" w:eastAsia="宋体" w:cs="宋体"/>
          <w:szCs w:val="21"/>
        </w:rPr>
        <w:t>采购过程中出现以下情形，导致电子交易平台无法正常运行，或者无法保证电子交易的公平、公正和安全时，采购组织机构可中止电子交易活动：</w:t>
      </w:r>
    </w:p>
    <w:p w14:paraId="6EC66C3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 xml:space="preserve">电子交易平台发生故障而无法登录访问的； </w:t>
      </w:r>
    </w:p>
    <w:p w14:paraId="58B2C18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电子交易平台应用或数据库出现错误，不能进行正常操作的；</w:t>
      </w:r>
    </w:p>
    <w:p w14:paraId="60B3BF2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电子交易平台发现严重安全漏洞，有潜在泄密危险的；</w:t>
      </w:r>
    </w:p>
    <w:p w14:paraId="74A549A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 xml:space="preserve">病毒发作导致不能进行正常操作的； </w:t>
      </w:r>
    </w:p>
    <w:p w14:paraId="60BC6F9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其他无法保证电子交易的公平、公正和安全的情况。</w:t>
      </w:r>
    </w:p>
    <w:p w14:paraId="60E0151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4DA95DD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 投标文件初步评审</w:t>
      </w:r>
    </w:p>
    <w:p w14:paraId="015D5EA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5.3.1评标委员会将首先审查每份投标文件是否实质上响应了招标文件的要求，实质性响应的投标文件是指投标文件符合招标文件规定的实质性内容、条件和规定。</w:t>
      </w:r>
    </w:p>
    <w:p w14:paraId="07DF27B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5.3.2重大偏离或保留是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2E8A777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5.3.3细微偏离是指投标文件对招标文件的非实质性内容存在不完全响应或不响应。</w:t>
      </w:r>
    </w:p>
    <w:p w14:paraId="08EED3F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5.3.4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41C65E7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5.3.5  初步评审工作内容</w:t>
      </w:r>
    </w:p>
    <w:p w14:paraId="50504EB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5.3.5</w:t>
      </w:r>
      <w:r>
        <w:rPr>
          <w:rFonts w:hint="eastAsia" w:ascii="宋体" w:hAnsi="宋体" w:cs="宋体"/>
          <w:szCs w:val="21"/>
          <w:lang w:val="en-US" w:eastAsia="zh-CN"/>
        </w:rPr>
        <w:t>.1</w:t>
      </w:r>
      <w:r>
        <w:rPr>
          <w:rFonts w:hint="eastAsia" w:ascii="宋体" w:hAnsi="宋体" w:eastAsia="宋体" w:cs="宋体"/>
          <w:szCs w:val="21"/>
        </w:rPr>
        <w:t>资格性检查</w:t>
      </w:r>
    </w:p>
    <w:p w14:paraId="0869F70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依据法律法规及招标文件的规定，对投标文件中的提供的资格证明材料进行审查，以确定投标人是否具备投标资格。</w:t>
      </w:r>
    </w:p>
    <w:p w14:paraId="2604DF3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5.3.5</w:t>
      </w:r>
      <w:r>
        <w:rPr>
          <w:rFonts w:hint="eastAsia" w:ascii="宋体" w:hAnsi="宋体" w:cs="宋体"/>
          <w:szCs w:val="21"/>
          <w:lang w:val="en-US" w:eastAsia="zh-CN"/>
        </w:rPr>
        <w:t>.2</w:t>
      </w:r>
      <w:r>
        <w:rPr>
          <w:rFonts w:hint="eastAsia" w:ascii="宋体" w:hAnsi="宋体" w:eastAsia="宋体" w:cs="宋体"/>
          <w:szCs w:val="21"/>
        </w:rPr>
        <w:t>符合性检查</w:t>
      </w:r>
    </w:p>
    <w:p w14:paraId="77979FA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依据招标文件的规定，从投标文件的有效性、完整性和对招标文件的响应程度进行审查，以确定是否对招标文件的实质性要求做出响应。</w:t>
      </w:r>
    </w:p>
    <w:p w14:paraId="60B649A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5.3.6除符合5.6款规定外，评标委员会对投标文件的判定，只依据投标文件内容本身，不依靠开标后的任何外来证明。如投标人提交的资质证明或其他内容不齐全，由此造成的后果由投标人自己负责。  </w:t>
      </w:r>
    </w:p>
    <w:p w14:paraId="15AF321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5.4 投标文件的澄清</w:t>
      </w:r>
    </w:p>
    <w:p w14:paraId="0FFC373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5.4.1评审中需要投标人对投标、响应文件作出澄清、说明或者补正的，评标委员会和投标人应当通过乐采云平台交换数据电文。给予投标人提交澄清说明或补正的时间不少于半小时，投标人已经明确表示澄清说明或补正完毕的除外。投标人通过乐采云平台交换的数据电文必须进行电子签章。</w:t>
      </w:r>
    </w:p>
    <w:p w14:paraId="0DA36E7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5.4.2 投标人对投标文件的澄清不得超出投标文件的范围或者改变投标文件的实质性内容。</w:t>
      </w:r>
    </w:p>
    <w:p w14:paraId="401816A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5.5 错误修正</w:t>
      </w:r>
    </w:p>
    <w:p w14:paraId="4325A8C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评标委员会将对确定为实质上响应招标文件要求的投标文件进行校核，看其在投标报价方面是否有计算、累计或表达上的错误，修正错误的原则及顺序如下：</w:t>
      </w:r>
    </w:p>
    <w:p w14:paraId="07EFE46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5.1乐采云电子采购平台-开标记录模块的报价与投标文件中的报价不一致的，以投标文件中的报价为准；</w:t>
      </w:r>
    </w:p>
    <w:p w14:paraId="7F39AA3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5.2大写金额和小写金额不一致的，以大写金额为准；</w:t>
      </w:r>
    </w:p>
    <w:p w14:paraId="0AD7B51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5.3单价金额小数点或者百分比有明显错位的，以开标一览表的总价为准，并修改单价；</w:t>
      </w:r>
    </w:p>
    <w:p w14:paraId="652F88A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5.4总价金额与按单价汇总金额不一致的，以单价金额计算结果为准。</w:t>
      </w:r>
    </w:p>
    <w:p w14:paraId="5C1ACDA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同时出现两种以上不一致的，按照前款规定的顺序修正。修正后的报价经投标人确认后产生约束力，投标人不确认的，其投标无效。</w:t>
      </w:r>
    </w:p>
    <w:p w14:paraId="268A7F2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5.6 合理报价澄清说明</w:t>
      </w:r>
    </w:p>
    <w:p w14:paraId="5B5321D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5.6.1评标委员会评审时如发现投标人的某些分项报价明显不合理或者低于成本，有可能影响产品质量和不能诚信履约的，可要求该投标人在30分钟内书面说明并提供相关证明材料。该投标人不能合理说明原因并提供证明材料的，评标委员会应将该投标文件作无效处理。</w:t>
      </w:r>
    </w:p>
    <w:p w14:paraId="74EFC63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5.7 无效标</w:t>
      </w:r>
    </w:p>
    <w:p w14:paraId="7E156CB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5.7.1无效标情形见《第七章评标办法》</w:t>
      </w:r>
    </w:p>
    <w:p w14:paraId="5E21F3A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5.8 评标</w:t>
      </w:r>
    </w:p>
    <w:p w14:paraId="692A160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5.8.1 招标人将按相关规定组织评标委员会，对投标文件进行审查、比较和评价。</w:t>
      </w:r>
    </w:p>
    <w:p w14:paraId="17BABDA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5.8.2 评标原则：</w:t>
      </w:r>
    </w:p>
    <w:p w14:paraId="0F922EE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本次评标采用综合评分法，在最大限度的满足招标文件实质性要求的前提下，按招标文件中规定各项评标因素进行综合评审后，以评标总得分最高的投标人作为中标候选人或中标人。招标人将把中标通知书授予最佳投标人。</w:t>
      </w:r>
    </w:p>
    <w:p w14:paraId="0FC8C50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5.8.3评标办法：</w:t>
      </w:r>
    </w:p>
    <w:p w14:paraId="29D9404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评标办法详见第七章。</w:t>
      </w:r>
    </w:p>
    <w:p w14:paraId="62C6E28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5.9 有效投标人少于三家的情况处理</w:t>
      </w:r>
    </w:p>
    <w:p w14:paraId="62E7271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5.9.1因本项目实施时间紧张，如评审期间，出现有效投标人不足3家的，若方案具有竞争性的，则由评标委员会确定继续进行评审。</w:t>
      </w:r>
    </w:p>
    <w:p w14:paraId="00DA46A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5.10 废标</w:t>
      </w:r>
    </w:p>
    <w:p w14:paraId="4E66B1F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5.10.1在招标活动中，出现下列情形之一的，应予废标：</w:t>
      </w:r>
    </w:p>
    <w:p w14:paraId="7349233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（1）符合招标文件规定废标情形的；</w:t>
      </w:r>
    </w:p>
    <w:p w14:paraId="3E55C36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（2）出现影响招标活动公正的违法、违规行为的； </w:t>
      </w:r>
    </w:p>
    <w:p w14:paraId="35F129E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（3）投标人的报价均超过了最高限价，招标人不能支付的； </w:t>
      </w:r>
    </w:p>
    <w:p w14:paraId="6BD29E9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（4）因重大变故，招标任务取消的。</w:t>
      </w:r>
    </w:p>
    <w:p w14:paraId="67E13AD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5.11 确定招标结果</w:t>
      </w:r>
    </w:p>
    <w:p w14:paraId="29AF510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5.11.1评标结束后，根据评标委员会推荐，招标人按有关规定确定中标人。</w:t>
      </w:r>
    </w:p>
    <w:p w14:paraId="374871F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5.12 结果公告</w:t>
      </w:r>
    </w:p>
    <w:p w14:paraId="5E789E6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5.12.1在招标人确认招标结果后，招标代理机构按相关规定将中标结果在网上进行公告。招标人、招标代理机构及评标委员会对未中标的投标人不作落标原因解释。</w:t>
      </w:r>
    </w:p>
    <w:p w14:paraId="29BF969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5.13 招标过程、招标结果异议</w:t>
      </w:r>
    </w:p>
    <w:p w14:paraId="7F556BD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5.13.1投标人或者其他利害关系人对依法必须进行招标的项目的评标结果有异议的，应当在中标候选人公示期间提出。招标人应当自收到异议之日起3日内作出答复；作出答复前，应当暂停招标投标活动。</w:t>
      </w:r>
    </w:p>
    <w:p w14:paraId="20E4921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5.14 发出中标通知书</w:t>
      </w:r>
    </w:p>
    <w:p w14:paraId="00087C6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5.14.1依法必须进行招标的项目，招标人应当自收到评标报告之日起3日内公示中标候选人，公示期不少于3日。</w:t>
      </w:r>
    </w:p>
    <w:p w14:paraId="57D48E7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5.14.2招标人及招标代理机构将以书面形式向中标人发出中标通知书。</w:t>
      </w:r>
    </w:p>
    <w:p w14:paraId="07071FE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5.15 签订合同</w:t>
      </w:r>
    </w:p>
    <w:p w14:paraId="2AA973D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5.15.1 中标人应在接到中标通知书后按中标通知书规定的时间、地点与招标人签订合同。</w:t>
      </w:r>
    </w:p>
    <w:p w14:paraId="7998DA8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5.15.2招标文件及补充文件、中标人的投标文件及投标修改文件、评标过程中有关澄清文件和中标通知书均作为合同附件。</w:t>
      </w:r>
    </w:p>
    <w:p w14:paraId="3769DBF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5.15.3拒签合同的责任：</w:t>
      </w:r>
    </w:p>
    <w:p w14:paraId="3065B7A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中标人接到中标通知书后，在规定时间内借故否认已经承诺的条件而拒签合同者，以投标违约处理，其投标保证金不予退回，并赔偿招标人由此造成的直接经济损失。</w:t>
      </w:r>
    </w:p>
    <w:p w14:paraId="7E38B39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5.16 履约保证金</w:t>
      </w:r>
    </w:p>
    <w:p w14:paraId="017D6E3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5.16.1中标人按“投标人须知前附表”规定的缴纳履约保证金。</w:t>
      </w:r>
    </w:p>
    <w:p w14:paraId="0377E01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5.16.2履约保证金有效期按“投标人须知前附表”规定。</w:t>
      </w:r>
    </w:p>
    <w:p w14:paraId="749716F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5.16.3履约保证金有效期结束后，中标人凭保证金收据退还。</w:t>
      </w:r>
    </w:p>
    <w:p w14:paraId="734768D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5.17 招标代理服务费</w:t>
      </w:r>
    </w:p>
    <w:p w14:paraId="63C2A57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本次招标代理服务费按“投标人须知前附表”规定收取。</w:t>
      </w:r>
    </w:p>
    <w:p w14:paraId="6E8BA6E9">
      <w:pPr>
        <w:widowControl/>
        <w:spacing w:line="360" w:lineRule="auto"/>
        <w:ind w:firstLine="420" w:firstLineChars="200"/>
        <w:jc w:val="left"/>
        <w:rPr>
          <w:rFonts w:hint="eastAsia" w:ascii="宋体" w:hAnsi="宋体" w:cs="宋体"/>
          <w:szCs w:val="21"/>
        </w:rPr>
      </w:pPr>
      <w:r>
        <w:rPr>
          <w:rFonts w:hint="eastAsia" w:ascii="宋体" w:hAnsi="宋体" w:cs="宋体"/>
          <w:szCs w:val="21"/>
        </w:rPr>
        <w:br w:type="page"/>
      </w:r>
    </w:p>
    <w:p w14:paraId="1DF50E31">
      <w:pPr>
        <w:pStyle w:val="3"/>
        <w:rPr>
          <w:rFonts w:hint="default" w:ascii="宋体" w:hAnsi="宋体" w:eastAsia="宋体" w:cs="宋体"/>
          <w:color w:val="auto"/>
          <w:lang w:val="en-US" w:eastAsia="zh-CN"/>
        </w:rPr>
      </w:pPr>
      <w:bookmarkStart w:id="25" w:name="_Toc24846"/>
      <w:bookmarkStart w:id="26" w:name="_Toc27449"/>
      <w:r>
        <w:rPr>
          <w:rFonts w:hint="eastAsia" w:ascii="宋体" w:hAnsi="宋体" w:cs="宋体"/>
          <w:color w:val="auto"/>
        </w:rPr>
        <w:t>第</w:t>
      </w:r>
      <w:r>
        <w:rPr>
          <w:rFonts w:hint="eastAsia" w:ascii="宋体" w:hAnsi="宋体" w:cs="宋体"/>
          <w:color w:val="auto"/>
          <w:lang w:val="en-US" w:eastAsia="zh-CN"/>
        </w:rPr>
        <w:t>四</w:t>
      </w:r>
      <w:r>
        <w:rPr>
          <w:rFonts w:hint="eastAsia" w:ascii="宋体" w:hAnsi="宋体" w:cs="宋体"/>
          <w:color w:val="auto"/>
        </w:rPr>
        <w:t xml:space="preserve">章  </w:t>
      </w:r>
      <w:r>
        <w:rPr>
          <w:rFonts w:hint="eastAsia" w:ascii="宋体" w:hAnsi="宋体" w:cs="宋体"/>
          <w:color w:val="auto"/>
          <w:lang w:val="en-US" w:eastAsia="zh-CN"/>
        </w:rPr>
        <w:t>招标内容及需求</w:t>
      </w:r>
      <w:bookmarkEnd w:id="25"/>
    </w:p>
    <w:bookmarkEnd w:id="26"/>
    <w:p w14:paraId="218D383A">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一、项目建设目标</w:t>
      </w:r>
    </w:p>
    <w:p w14:paraId="26E97198">
      <w:pPr>
        <w:spacing w:after="0" w:line="360" w:lineRule="auto"/>
        <w:ind w:firstLine="420" w:firstLineChars="200"/>
        <w:rPr>
          <w:rFonts w:hint="eastAsia" w:ascii="宋体" w:hAnsi="宋体" w:eastAsia="宋体" w:cs="宋体"/>
          <w:szCs w:val="21"/>
        </w:rPr>
      </w:pPr>
      <w:bookmarkStart w:id="27" w:name="_Toc1156"/>
      <w:bookmarkStart w:id="28" w:name="_Toc9565"/>
      <w:r>
        <w:rPr>
          <w:rFonts w:hint="eastAsia" w:ascii="宋体" w:hAnsi="宋体" w:eastAsia="宋体" w:cs="宋体"/>
          <w:szCs w:val="21"/>
        </w:rPr>
        <w:t>本项目依据《关于推动中央企业加快司库体系建设进一步加强资金管理的意见》；遵照国资国企在线监管系统总体架构和标准规范基础；根据集团公司《对标一流财务管理体系建设行动方案（2024-2026）》要求，建设覆盖融资全场景应用的“智能友好、穿透可视、功能强大、安全可靠”的司库管理系统，实现</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w:t>
      </w:r>
      <w:r>
        <w:rPr>
          <w:rFonts w:hint="eastAsia" w:ascii="宋体" w:hAnsi="宋体" w:eastAsia="宋体" w:cs="宋体"/>
          <w:szCs w:val="21"/>
        </w:rPr>
        <w:t>从资金集中到金融资源“看得清、管得住、调得动、用得好”的转变。</w:t>
      </w:r>
    </w:p>
    <w:p w14:paraId="2B748DD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1.1 </w:t>
      </w:r>
      <w:r>
        <w:rPr>
          <w:rFonts w:hint="eastAsia" w:ascii="宋体" w:hAnsi="宋体" w:eastAsia="宋体" w:cs="宋体"/>
          <w:szCs w:val="21"/>
        </w:rPr>
        <w:t>通过搭建统一、强大的司库管理平台，覆盖</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w:t>
      </w:r>
      <w:r>
        <w:rPr>
          <w:rFonts w:hint="eastAsia" w:ascii="宋体" w:hAnsi="宋体" w:eastAsia="宋体" w:cs="宋体"/>
          <w:szCs w:val="21"/>
        </w:rPr>
        <w:t>融资全场景应用，照顾未来深化扩展到大数据分析预警等其他领域，通过沉淀大量的经营管理数据及分析预警模型进行决策分析指导及企业战略管理及运营。</w:t>
      </w:r>
    </w:p>
    <w:p w14:paraId="02D1A86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1.2 </w:t>
      </w:r>
      <w:r>
        <w:rPr>
          <w:rFonts w:hint="eastAsia" w:ascii="宋体" w:hAnsi="宋体" w:eastAsia="宋体" w:cs="宋体"/>
          <w:szCs w:val="21"/>
        </w:rPr>
        <w:t>横向打通业务系统与财务系统，实现业财融合，加强</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w:t>
      </w:r>
      <w:r>
        <w:rPr>
          <w:rFonts w:hint="eastAsia" w:ascii="宋体" w:hAnsi="宋体" w:eastAsia="宋体" w:cs="宋体"/>
          <w:szCs w:val="21"/>
        </w:rPr>
        <w:t>本级与下属单位管控，实现战略协同。</w:t>
      </w:r>
    </w:p>
    <w:bookmarkEnd w:id="27"/>
    <w:bookmarkEnd w:id="28"/>
    <w:p w14:paraId="3E0B0A61">
      <w:pPr>
        <w:spacing w:after="0" w:line="360" w:lineRule="auto"/>
        <w:ind w:firstLine="422" w:firstLineChars="200"/>
        <w:rPr>
          <w:rFonts w:hint="eastAsia" w:ascii="宋体" w:hAnsi="宋体" w:eastAsia="宋体" w:cs="宋体"/>
          <w:b/>
          <w:bCs/>
          <w:szCs w:val="21"/>
        </w:rPr>
      </w:pPr>
      <w:bookmarkStart w:id="29" w:name="_Toc9425"/>
      <w:r>
        <w:rPr>
          <w:rFonts w:hint="eastAsia" w:ascii="宋体" w:hAnsi="宋体" w:cs="宋体"/>
          <w:b/>
          <w:bCs/>
          <w:szCs w:val="21"/>
          <w:lang w:val="en-US" w:eastAsia="zh-CN"/>
        </w:rPr>
        <w:t>二、</w:t>
      </w:r>
      <w:r>
        <w:rPr>
          <w:rFonts w:hint="eastAsia" w:ascii="宋体" w:hAnsi="宋体" w:eastAsia="宋体" w:cs="宋体"/>
          <w:b/>
          <w:bCs/>
          <w:szCs w:val="21"/>
        </w:rPr>
        <w:t>司库管理系统建设内容</w:t>
      </w:r>
    </w:p>
    <w:p w14:paraId="537602B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1</w:t>
      </w:r>
      <w:r>
        <w:rPr>
          <w:rFonts w:hint="eastAsia" w:ascii="宋体" w:hAnsi="宋体" w:cs="宋体"/>
          <w:szCs w:val="21"/>
          <w:lang w:val="en-US" w:eastAsia="zh-CN"/>
        </w:rPr>
        <w:t xml:space="preserve"> </w:t>
      </w:r>
      <w:r>
        <w:rPr>
          <w:rFonts w:hint="eastAsia" w:ascii="宋体" w:hAnsi="宋体" w:eastAsia="宋体" w:cs="宋体"/>
          <w:szCs w:val="21"/>
        </w:rPr>
        <w:t>建立业财一体化管理机制</w:t>
      </w:r>
    </w:p>
    <w:p w14:paraId="25E8207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通过司库管理系统与OA系统、财务核算系统、财务报表系统、银企直联等的深度集成，建立跨部门、跨岗位的高效协同机制，形成资金管理合力，提升资金管理效率和效果。</w:t>
      </w:r>
    </w:p>
    <w:p w14:paraId="42B2C5D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2建立资金预算计划管理平台</w:t>
      </w:r>
    </w:p>
    <w:p w14:paraId="308AC3E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建立资金预算计划管理平台，搭建资金预算、计划、审批、执行、分析等全流程的资金预算计划管理体系，完善资金管理相关流程，实现资金筹集、使用、监督管理一体化，结合经营、投资、债务偿还等业务活动，测算未来资金盈缺，主动安排和规划未来资金存放和筹资，支持移动端审批。</w:t>
      </w:r>
    </w:p>
    <w:p w14:paraId="123DD17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3建立资金全面集中管控体系</w:t>
      </w:r>
    </w:p>
    <w:p w14:paraId="46CB735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通过统一管控银行账户、银行账户银企直联逐步全覆盖、全集团资金归集管理，建立资金全面集中管控体系，实现全集团金融资源的实时监控、集中管理和统筹调度。</w:t>
      </w:r>
    </w:p>
    <w:p w14:paraId="65232AF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4</w:t>
      </w:r>
      <w:r>
        <w:rPr>
          <w:rFonts w:hint="eastAsia" w:ascii="宋体" w:hAnsi="宋体" w:cs="宋体"/>
          <w:szCs w:val="21"/>
          <w:lang w:val="en-US" w:eastAsia="zh-CN"/>
        </w:rPr>
        <w:t xml:space="preserve"> </w:t>
      </w:r>
      <w:r>
        <w:rPr>
          <w:rFonts w:hint="eastAsia" w:ascii="宋体" w:hAnsi="宋体" w:eastAsia="宋体" w:cs="宋体"/>
          <w:szCs w:val="21"/>
        </w:rPr>
        <w:t>建立多维度资金台账和数据模型</w:t>
      </w:r>
    </w:p>
    <w:p w14:paraId="0940EBD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一是建立单位维度、板块维度、时间维度、地区维度、产品维度、成本维度等多维度台账，全面深入分析资金结构</w:t>
      </w:r>
      <w:r>
        <w:rPr>
          <w:rFonts w:hint="eastAsia" w:ascii="宋体" w:hAnsi="宋体" w:cs="宋体"/>
          <w:szCs w:val="21"/>
          <w:lang w:val="en-US" w:eastAsia="zh-CN"/>
        </w:rPr>
        <w:t>；</w:t>
      </w:r>
      <w:r>
        <w:rPr>
          <w:rFonts w:hint="eastAsia" w:ascii="宋体" w:hAnsi="宋体" w:eastAsia="宋体" w:cs="宋体"/>
          <w:szCs w:val="21"/>
        </w:rPr>
        <w:t>二是建立资金数据分类模型，基本实现系统自主识别和认领资金流水、匹配业务数据、生成现金流量表。</w:t>
      </w:r>
    </w:p>
    <w:p w14:paraId="05D1A87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2.5 </w:t>
      </w:r>
      <w:r>
        <w:rPr>
          <w:rFonts w:hint="eastAsia" w:ascii="宋体" w:hAnsi="宋体" w:eastAsia="宋体" w:cs="宋体"/>
          <w:szCs w:val="21"/>
        </w:rPr>
        <w:t>建立债务融资管理平台</w:t>
      </w:r>
    </w:p>
    <w:p w14:paraId="4E1B5E3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根据融资预算和资金计划，对融资总额和银行授信资源进行统一管理，实时跟踪债务规模、品种、期限、利率、还本付息等信息，全面掌握债务动态，防范债务风险。统筹管理债务融资品种和期限结构，强化资金余缺管理，控制带息负债规模，防止存贷双高。</w:t>
      </w:r>
    </w:p>
    <w:p w14:paraId="088383E8">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2.6 </w:t>
      </w:r>
      <w:r>
        <w:rPr>
          <w:rFonts w:hint="eastAsia" w:ascii="宋体" w:hAnsi="宋体" w:eastAsia="宋体" w:cs="宋体"/>
          <w:szCs w:val="21"/>
        </w:rPr>
        <w:t>建立资金可视化报表和智能分析平台</w:t>
      </w:r>
    </w:p>
    <w:p w14:paraId="3DE5B23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建立独立的数据仓库、自动化运算数据子系统，输出可视化资金报表；整合内外部数据源，建立数据挖掘模型及流程，对资金数据分析应用场景建模，搭建资金智能分析平台，并通过AI自主学习不断优化，为决策提供支持。</w:t>
      </w:r>
    </w:p>
    <w:p w14:paraId="18A9D338">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7</w:t>
      </w:r>
      <w:r>
        <w:rPr>
          <w:rFonts w:hint="eastAsia" w:ascii="宋体" w:hAnsi="宋体" w:cs="宋体"/>
          <w:szCs w:val="21"/>
          <w:lang w:val="en-US" w:eastAsia="zh-CN"/>
        </w:rPr>
        <w:t xml:space="preserve"> </w:t>
      </w:r>
      <w:r>
        <w:rPr>
          <w:rFonts w:hint="eastAsia" w:ascii="宋体" w:hAnsi="宋体" w:eastAsia="宋体" w:cs="宋体"/>
          <w:szCs w:val="21"/>
        </w:rPr>
        <w:t>建立国资监管数据自动报送系统</w:t>
      </w:r>
    </w:p>
    <w:p w14:paraId="0715FC5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通过司库信息报送模块的搭建，建立符合国资监管要求的数据报送系统，提升报送效率和质量。</w:t>
      </w:r>
    </w:p>
    <w:p w14:paraId="70B82F1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2.8 </w:t>
      </w:r>
      <w:r>
        <w:rPr>
          <w:rFonts w:hint="eastAsia" w:ascii="宋体" w:hAnsi="宋体" w:eastAsia="宋体" w:cs="宋体"/>
          <w:szCs w:val="21"/>
        </w:rPr>
        <w:t>独立部署国瑞科技司库管理系统</w:t>
      </w:r>
    </w:p>
    <w:p w14:paraId="752AE80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根据保密及上市公司独立性要求，独立部署国瑞科技司库管理系统并对接</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司库管理系统</w:t>
      </w:r>
      <w:r>
        <w:rPr>
          <w:rFonts w:hint="eastAsia" w:ascii="宋体" w:hAnsi="宋体" w:eastAsia="宋体" w:cs="宋体"/>
          <w:szCs w:val="21"/>
        </w:rPr>
        <w:t>，实现数据自动汇总至集团，并按国资委监管要求自动报送相关数据。</w:t>
      </w:r>
    </w:p>
    <w:p w14:paraId="019004E7">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2.9 项目建设范围、模块及主要内容</w:t>
      </w:r>
      <w:bookmarkEnd w:id="29"/>
    </w:p>
    <w:p w14:paraId="6A583ED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本项目建设覆盖</w:t>
      </w:r>
      <w:r>
        <w:rPr>
          <w:rFonts w:hint="eastAsia" w:ascii="宋体" w:hAnsi="宋体" w:eastAsia="宋体" w:cs="宋体"/>
          <w:szCs w:val="21"/>
          <w:lang w:val="en-US" w:eastAsia="zh-CN"/>
        </w:rPr>
        <w:t>二轻</w:t>
      </w:r>
      <w:r>
        <w:rPr>
          <w:rFonts w:hint="eastAsia" w:ascii="宋体" w:hAnsi="宋体" w:eastAsia="宋体" w:cs="宋体"/>
          <w:szCs w:val="21"/>
        </w:rPr>
        <w:t>集团本部</w:t>
      </w:r>
      <w:r>
        <w:rPr>
          <w:rFonts w:hint="eastAsia" w:ascii="宋体" w:hAnsi="宋体" w:eastAsia="宋体" w:cs="宋体"/>
          <w:szCs w:val="21"/>
          <w:lang w:val="en-US" w:eastAsia="zh-CN"/>
        </w:rPr>
        <w:t>+国瑞科技</w:t>
      </w:r>
      <w:r>
        <w:rPr>
          <w:rFonts w:hint="eastAsia" w:ascii="宋体" w:hAnsi="宋体" w:eastAsia="宋体" w:cs="宋体"/>
          <w:szCs w:val="21"/>
        </w:rPr>
        <w:t>及下属成员单位，具体业务范围及建设范围如下：</w:t>
      </w:r>
    </w:p>
    <w:tbl>
      <w:tblPr>
        <w:tblStyle w:val="44"/>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4578"/>
        <w:gridCol w:w="2212"/>
      </w:tblGrid>
      <w:tr w14:paraId="2128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71" w:type="dxa"/>
            <w:vAlign w:val="center"/>
          </w:tcPr>
          <w:p w14:paraId="1A0FC4A8">
            <w:pPr>
              <w:spacing w:after="0" w:line="360" w:lineRule="auto"/>
              <w:jc w:val="center"/>
              <w:rPr>
                <w:rFonts w:hint="eastAsia" w:ascii="宋体" w:hAnsi="宋体" w:eastAsia="宋体" w:cs="宋体"/>
                <w:szCs w:val="21"/>
              </w:rPr>
            </w:pPr>
            <w:r>
              <w:rPr>
                <w:rFonts w:hint="eastAsia" w:ascii="宋体" w:hAnsi="宋体" w:eastAsia="宋体" w:cs="宋体"/>
                <w:szCs w:val="21"/>
              </w:rPr>
              <w:t>业务范围</w:t>
            </w:r>
          </w:p>
        </w:tc>
        <w:tc>
          <w:tcPr>
            <w:tcW w:w="4578" w:type="dxa"/>
            <w:vAlign w:val="center"/>
          </w:tcPr>
          <w:p w14:paraId="2AAC5AC6">
            <w:pPr>
              <w:spacing w:after="0" w:line="360" w:lineRule="auto"/>
              <w:jc w:val="center"/>
              <w:rPr>
                <w:rFonts w:hint="eastAsia" w:ascii="宋体" w:hAnsi="宋体" w:eastAsia="宋体" w:cs="宋体"/>
                <w:szCs w:val="21"/>
              </w:rPr>
            </w:pPr>
            <w:r>
              <w:rPr>
                <w:rFonts w:hint="eastAsia" w:ascii="宋体" w:hAnsi="宋体" w:eastAsia="宋体" w:cs="宋体"/>
                <w:szCs w:val="21"/>
              </w:rPr>
              <w:t>模块</w:t>
            </w:r>
          </w:p>
        </w:tc>
        <w:tc>
          <w:tcPr>
            <w:tcW w:w="2212" w:type="dxa"/>
            <w:vAlign w:val="center"/>
          </w:tcPr>
          <w:p w14:paraId="629D8EF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实施组织</w:t>
            </w:r>
          </w:p>
        </w:tc>
      </w:tr>
      <w:tr w14:paraId="0A0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71" w:type="dxa"/>
            <w:vMerge w:val="restart"/>
            <w:vAlign w:val="center"/>
          </w:tcPr>
          <w:p w14:paraId="5D06C30E">
            <w:pPr>
              <w:spacing w:after="0" w:line="360" w:lineRule="auto"/>
              <w:jc w:val="center"/>
              <w:rPr>
                <w:rFonts w:hint="eastAsia" w:ascii="宋体" w:hAnsi="宋体" w:eastAsia="宋体" w:cs="宋体"/>
                <w:szCs w:val="21"/>
              </w:rPr>
            </w:pPr>
            <w:r>
              <w:rPr>
                <w:rFonts w:hint="eastAsia" w:ascii="宋体" w:hAnsi="宋体" w:eastAsia="宋体" w:cs="宋体"/>
                <w:szCs w:val="21"/>
              </w:rPr>
              <w:t>技术平台</w:t>
            </w:r>
          </w:p>
        </w:tc>
        <w:tc>
          <w:tcPr>
            <w:tcW w:w="4578" w:type="dxa"/>
            <w:vAlign w:val="center"/>
          </w:tcPr>
          <w:p w14:paraId="760BDD39">
            <w:pPr>
              <w:spacing w:after="0" w:line="360" w:lineRule="auto"/>
              <w:jc w:val="center"/>
              <w:rPr>
                <w:rFonts w:hint="eastAsia" w:ascii="宋体" w:hAnsi="宋体" w:eastAsia="宋体" w:cs="宋体"/>
                <w:szCs w:val="21"/>
              </w:rPr>
            </w:pPr>
            <w:r>
              <w:rPr>
                <w:rFonts w:hint="eastAsia" w:ascii="宋体" w:hAnsi="宋体" w:eastAsia="宋体" w:cs="宋体"/>
                <w:szCs w:val="21"/>
              </w:rPr>
              <w:t>基础服务平台</w:t>
            </w:r>
          </w:p>
        </w:tc>
        <w:tc>
          <w:tcPr>
            <w:tcW w:w="2212" w:type="dxa"/>
            <w:vMerge w:val="restart"/>
            <w:vAlign w:val="center"/>
          </w:tcPr>
          <w:p w14:paraId="6409CA5C">
            <w:pPr>
              <w:spacing w:after="0" w:line="360" w:lineRule="auto"/>
              <w:rPr>
                <w:rFonts w:hint="eastAsia" w:ascii="宋体" w:hAnsi="宋体" w:eastAsia="宋体" w:cs="宋体"/>
                <w:b/>
                <w:bCs/>
                <w:szCs w:val="21"/>
              </w:rPr>
            </w:pPr>
            <w:r>
              <w:rPr>
                <w:rFonts w:hint="eastAsia" w:ascii="宋体" w:hAnsi="宋体" w:eastAsia="宋体" w:cs="宋体"/>
                <w:b/>
                <w:bCs/>
                <w:szCs w:val="21"/>
                <w:lang w:val="en-US" w:eastAsia="zh-CN"/>
              </w:rPr>
              <w:t>二轻</w:t>
            </w:r>
            <w:r>
              <w:rPr>
                <w:rFonts w:hint="eastAsia" w:ascii="宋体" w:hAnsi="宋体" w:eastAsia="宋体" w:cs="宋体"/>
                <w:b/>
                <w:bCs/>
                <w:szCs w:val="21"/>
              </w:rPr>
              <w:t>集团本部+</w:t>
            </w:r>
            <w:r>
              <w:rPr>
                <w:rFonts w:hint="eastAsia" w:ascii="宋体" w:hAnsi="宋体" w:eastAsia="宋体" w:cs="宋体"/>
                <w:b/>
                <w:bCs/>
                <w:szCs w:val="21"/>
                <w:lang w:val="en-US" w:eastAsia="zh-CN"/>
              </w:rPr>
              <w:t>国瑞科技</w:t>
            </w:r>
            <w:r>
              <w:rPr>
                <w:rFonts w:hint="eastAsia" w:ascii="宋体" w:hAnsi="宋体" w:eastAsia="宋体" w:cs="宋体"/>
                <w:b/>
                <w:bCs/>
                <w:szCs w:val="21"/>
              </w:rPr>
              <w:t>及下属单位</w:t>
            </w:r>
          </w:p>
          <w:p w14:paraId="11602F93">
            <w:pPr>
              <w:spacing w:after="0" w:line="360" w:lineRule="auto"/>
              <w:rPr>
                <w:rFonts w:hint="default" w:ascii="宋体" w:hAnsi="宋体" w:eastAsia="宋体" w:cs="宋体"/>
                <w:szCs w:val="21"/>
                <w:lang w:val="en-US" w:eastAsia="zh-CN"/>
              </w:rPr>
            </w:pPr>
            <w:r>
              <w:rPr>
                <w:rFonts w:hint="eastAsia" w:ascii="宋体" w:hAnsi="宋体" w:eastAsia="宋体" w:cs="宋体"/>
                <w:b/>
                <w:bCs/>
                <w:szCs w:val="21"/>
              </w:rPr>
              <w:t>合计</w:t>
            </w:r>
            <w:r>
              <w:rPr>
                <w:rFonts w:hint="eastAsia" w:ascii="宋体" w:hAnsi="宋体" w:eastAsia="宋体" w:cs="宋体"/>
                <w:b/>
                <w:bCs/>
                <w:szCs w:val="21"/>
                <w:lang w:val="en-US" w:eastAsia="zh-CN"/>
              </w:rPr>
              <w:t>60</w:t>
            </w:r>
            <w:r>
              <w:rPr>
                <w:rFonts w:hint="eastAsia" w:ascii="宋体" w:hAnsi="宋体" w:eastAsia="宋体" w:cs="宋体"/>
                <w:b/>
                <w:bCs/>
                <w:szCs w:val="21"/>
              </w:rPr>
              <w:t>个许可</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二轻集团50个许可，国瑞科技10个许可）</w:t>
            </w:r>
          </w:p>
        </w:tc>
      </w:tr>
      <w:tr w14:paraId="7D4B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71" w:type="dxa"/>
            <w:vMerge w:val="continue"/>
            <w:vAlign w:val="center"/>
          </w:tcPr>
          <w:p w14:paraId="031C9C91">
            <w:pPr>
              <w:spacing w:after="0" w:line="360" w:lineRule="auto"/>
              <w:ind w:firstLine="420" w:firstLineChars="200"/>
              <w:jc w:val="center"/>
              <w:rPr>
                <w:rFonts w:hint="eastAsia" w:ascii="宋体" w:hAnsi="宋体" w:eastAsia="宋体" w:cs="宋体"/>
                <w:szCs w:val="21"/>
              </w:rPr>
            </w:pPr>
          </w:p>
        </w:tc>
        <w:tc>
          <w:tcPr>
            <w:tcW w:w="4578" w:type="dxa"/>
            <w:vAlign w:val="center"/>
          </w:tcPr>
          <w:p w14:paraId="1320388A">
            <w:pPr>
              <w:spacing w:after="0" w:line="360" w:lineRule="auto"/>
              <w:jc w:val="center"/>
              <w:rPr>
                <w:rFonts w:hint="eastAsia" w:ascii="宋体" w:hAnsi="宋体" w:eastAsia="宋体" w:cs="宋体"/>
                <w:szCs w:val="21"/>
              </w:rPr>
            </w:pPr>
            <w:r>
              <w:rPr>
                <w:rFonts w:hint="eastAsia" w:ascii="宋体" w:hAnsi="宋体" w:eastAsia="宋体" w:cs="宋体"/>
                <w:szCs w:val="21"/>
              </w:rPr>
              <w:t>工作流平台</w:t>
            </w:r>
          </w:p>
        </w:tc>
        <w:tc>
          <w:tcPr>
            <w:tcW w:w="2212" w:type="dxa"/>
            <w:vMerge w:val="continue"/>
            <w:vAlign w:val="center"/>
          </w:tcPr>
          <w:p w14:paraId="6C103D17">
            <w:pPr>
              <w:spacing w:after="0" w:line="360" w:lineRule="auto"/>
              <w:ind w:firstLine="420" w:firstLineChars="200"/>
              <w:rPr>
                <w:rFonts w:hint="eastAsia" w:ascii="宋体" w:hAnsi="宋体" w:eastAsia="宋体" w:cs="宋体"/>
                <w:szCs w:val="21"/>
              </w:rPr>
            </w:pPr>
          </w:p>
        </w:tc>
      </w:tr>
      <w:tr w14:paraId="2CC0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71" w:type="dxa"/>
            <w:vMerge w:val="continue"/>
            <w:vAlign w:val="center"/>
          </w:tcPr>
          <w:p w14:paraId="53F9A390">
            <w:pPr>
              <w:spacing w:after="0" w:line="360" w:lineRule="auto"/>
              <w:ind w:firstLine="420" w:firstLineChars="200"/>
              <w:jc w:val="center"/>
              <w:rPr>
                <w:rFonts w:hint="eastAsia" w:ascii="宋体" w:hAnsi="宋体" w:eastAsia="宋体" w:cs="宋体"/>
                <w:szCs w:val="21"/>
              </w:rPr>
            </w:pPr>
          </w:p>
        </w:tc>
        <w:tc>
          <w:tcPr>
            <w:tcW w:w="4578" w:type="dxa"/>
            <w:vAlign w:val="center"/>
          </w:tcPr>
          <w:p w14:paraId="68031080">
            <w:pPr>
              <w:spacing w:after="0" w:line="360" w:lineRule="auto"/>
              <w:jc w:val="center"/>
              <w:rPr>
                <w:rFonts w:hint="eastAsia" w:ascii="宋体" w:hAnsi="宋体" w:eastAsia="宋体" w:cs="宋体"/>
                <w:szCs w:val="21"/>
              </w:rPr>
            </w:pPr>
            <w:r>
              <w:rPr>
                <w:rFonts w:hint="eastAsia" w:ascii="宋体" w:hAnsi="宋体" w:eastAsia="宋体" w:cs="宋体"/>
                <w:szCs w:val="21"/>
              </w:rPr>
              <w:t>报表平台</w:t>
            </w:r>
          </w:p>
        </w:tc>
        <w:tc>
          <w:tcPr>
            <w:tcW w:w="2212" w:type="dxa"/>
            <w:vMerge w:val="continue"/>
            <w:vAlign w:val="center"/>
          </w:tcPr>
          <w:p w14:paraId="6E039F7F">
            <w:pPr>
              <w:spacing w:after="0" w:line="360" w:lineRule="auto"/>
              <w:ind w:firstLine="420" w:firstLineChars="200"/>
              <w:rPr>
                <w:rFonts w:hint="eastAsia" w:ascii="宋体" w:hAnsi="宋体" w:eastAsia="宋体" w:cs="宋体"/>
                <w:szCs w:val="21"/>
              </w:rPr>
            </w:pPr>
          </w:p>
        </w:tc>
      </w:tr>
      <w:tr w14:paraId="091E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71" w:type="dxa"/>
            <w:vMerge w:val="continue"/>
            <w:vAlign w:val="center"/>
          </w:tcPr>
          <w:p w14:paraId="1A9805B2">
            <w:pPr>
              <w:spacing w:after="0" w:line="360" w:lineRule="auto"/>
              <w:ind w:firstLine="420" w:firstLineChars="200"/>
              <w:jc w:val="center"/>
              <w:rPr>
                <w:rFonts w:hint="eastAsia" w:ascii="宋体" w:hAnsi="宋体" w:eastAsia="宋体" w:cs="宋体"/>
                <w:szCs w:val="21"/>
              </w:rPr>
            </w:pPr>
          </w:p>
        </w:tc>
        <w:tc>
          <w:tcPr>
            <w:tcW w:w="4578" w:type="dxa"/>
            <w:vAlign w:val="center"/>
          </w:tcPr>
          <w:p w14:paraId="50B85E86">
            <w:pPr>
              <w:spacing w:after="0" w:line="360" w:lineRule="auto"/>
              <w:jc w:val="center"/>
              <w:rPr>
                <w:rFonts w:hint="eastAsia" w:ascii="宋体" w:hAnsi="宋体" w:eastAsia="宋体" w:cs="宋体"/>
                <w:szCs w:val="21"/>
              </w:rPr>
            </w:pPr>
            <w:r>
              <w:rPr>
                <w:rFonts w:hint="eastAsia" w:ascii="宋体" w:hAnsi="宋体" w:eastAsia="宋体" w:cs="宋体"/>
                <w:szCs w:val="21"/>
              </w:rPr>
              <w:t>系统集成平台</w:t>
            </w:r>
          </w:p>
        </w:tc>
        <w:tc>
          <w:tcPr>
            <w:tcW w:w="2212" w:type="dxa"/>
            <w:vMerge w:val="continue"/>
            <w:vAlign w:val="center"/>
          </w:tcPr>
          <w:p w14:paraId="64922BB1">
            <w:pPr>
              <w:spacing w:after="0" w:line="360" w:lineRule="auto"/>
              <w:ind w:firstLine="420" w:firstLineChars="200"/>
              <w:rPr>
                <w:rFonts w:hint="eastAsia" w:ascii="宋体" w:hAnsi="宋体" w:eastAsia="宋体" w:cs="宋体"/>
                <w:szCs w:val="21"/>
              </w:rPr>
            </w:pPr>
          </w:p>
        </w:tc>
      </w:tr>
      <w:tr w14:paraId="375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restart"/>
            <w:vAlign w:val="center"/>
          </w:tcPr>
          <w:p w14:paraId="13F9025F">
            <w:pPr>
              <w:spacing w:after="0" w:line="360" w:lineRule="auto"/>
              <w:jc w:val="center"/>
              <w:rPr>
                <w:rFonts w:hint="eastAsia" w:ascii="宋体" w:hAnsi="宋体" w:eastAsia="宋体" w:cs="宋体"/>
                <w:szCs w:val="21"/>
              </w:rPr>
            </w:pPr>
            <w:bookmarkStart w:id="30" w:name="_Hlk206229604"/>
            <w:r>
              <w:rPr>
                <w:rFonts w:hint="eastAsia" w:ascii="宋体" w:hAnsi="宋体" w:eastAsia="宋体" w:cs="宋体"/>
                <w:szCs w:val="21"/>
              </w:rPr>
              <w:t>司库管理</w:t>
            </w:r>
          </w:p>
        </w:tc>
        <w:tc>
          <w:tcPr>
            <w:tcW w:w="4578" w:type="dxa"/>
            <w:vAlign w:val="center"/>
          </w:tcPr>
          <w:p w14:paraId="4D063B77">
            <w:pPr>
              <w:spacing w:after="0" w:line="360" w:lineRule="auto"/>
              <w:jc w:val="center"/>
              <w:rPr>
                <w:rFonts w:hint="eastAsia" w:ascii="宋体" w:hAnsi="宋体" w:eastAsia="宋体" w:cs="宋体"/>
                <w:szCs w:val="21"/>
              </w:rPr>
            </w:pPr>
            <w:r>
              <w:rPr>
                <w:rFonts w:hint="eastAsia" w:ascii="宋体" w:hAnsi="宋体" w:eastAsia="宋体" w:cs="宋体"/>
                <w:szCs w:val="21"/>
              </w:rPr>
              <w:t>账户管理</w:t>
            </w:r>
          </w:p>
        </w:tc>
        <w:tc>
          <w:tcPr>
            <w:tcW w:w="2212" w:type="dxa"/>
            <w:vMerge w:val="continue"/>
            <w:vAlign w:val="center"/>
          </w:tcPr>
          <w:p w14:paraId="3EA85334">
            <w:pPr>
              <w:spacing w:after="0" w:line="360" w:lineRule="auto"/>
              <w:ind w:firstLine="420" w:firstLineChars="200"/>
              <w:rPr>
                <w:rFonts w:hint="eastAsia" w:ascii="宋体" w:hAnsi="宋体" w:eastAsia="宋体" w:cs="宋体"/>
                <w:szCs w:val="21"/>
              </w:rPr>
            </w:pPr>
          </w:p>
        </w:tc>
      </w:tr>
      <w:tr w14:paraId="297D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064B4F4C">
            <w:pPr>
              <w:spacing w:after="0" w:line="360" w:lineRule="auto"/>
              <w:ind w:firstLine="420" w:firstLineChars="200"/>
              <w:jc w:val="center"/>
              <w:rPr>
                <w:rFonts w:hint="eastAsia" w:ascii="宋体" w:hAnsi="宋体" w:eastAsia="宋体" w:cs="宋体"/>
                <w:szCs w:val="21"/>
              </w:rPr>
            </w:pPr>
          </w:p>
        </w:tc>
        <w:tc>
          <w:tcPr>
            <w:tcW w:w="4578" w:type="dxa"/>
            <w:vAlign w:val="center"/>
          </w:tcPr>
          <w:p w14:paraId="00271827">
            <w:pPr>
              <w:spacing w:after="0" w:line="360" w:lineRule="auto"/>
              <w:jc w:val="center"/>
              <w:rPr>
                <w:rFonts w:hint="eastAsia" w:ascii="宋体" w:hAnsi="宋体" w:eastAsia="宋体" w:cs="宋体"/>
                <w:szCs w:val="21"/>
              </w:rPr>
            </w:pPr>
            <w:r>
              <w:rPr>
                <w:rFonts w:hint="eastAsia" w:ascii="宋体" w:hAnsi="宋体" w:eastAsia="宋体" w:cs="宋体"/>
                <w:szCs w:val="21"/>
              </w:rPr>
              <w:t>资金计划</w:t>
            </w:r>
          </w:p>
        </w:tc>
        <w:tc>
          <w:tcPr>
            <w:tcW w:w="2212" w:type="dxa"/>
            <w:vMerge w:val="continue"/>
            <w:vAlign w:val="center"/>
          </w:tcPr>
          <w:p w14:paraId="50B16518">
            <w:pPr>
              <w:spacing w:after="0" w:line="360" w:lineRule="auto"/>
              <w:ind w:firstLine="420" w:firstLineChars="200"/>
              <w:rPr>
                <w:rFonts w:hint="eastAsia" w:ascii="宋体" w:hAnsi="宋体" w:eastAsia="宋体" w:cs="宋体"/>
                <w:szCs w:val="21"/>
              </w:rPr>
            </w:pPr>
          </w:p>
        </w:tc>
      </w:tr>
      <w:tr w14:paraId="09AA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6B4E696B">
            <w:pPr>
              <w:spacing w:after="0" w:line="360" w:lineRule="auto"/>
              <w:ind w:firstLine="420" w:firstLineChars="200"/>
              <w:jc w:val="center"/>
              <w:rPr>
                <w:rFonts w:hint="eastAsia" w:ascii="宋体" w:hAnsi="宋体" w:eastAsia="宋体" w:cs="宋体"/>
                <w:szCs w:val="21"/>
              </w:rPr>
            </w:pPr>
          </w:p>
        </w:tc>
        <w:tc>
          <w:tcPr>
            <w:tcW w:w="4578" w:type="dxa"/>
            <w:vAlign w:val="center"/>
          </w:tcPr>
          <w:p w14:paraId="7E07F41F">
            <w:pPr>
              <w:spacing w:after="0" w:line="360" w:lineRule="auto"/>
              <w:jc w:val="center"/>
              <w:rPr>
                <w:rFonts w:hint="eastAsia" w:ascii="宋体" w:hAnsi="宋体" w:eastAsia="宋体" w:cs="宋体"/>
                <w:szCs w:val="21"/>
              </w:rPr>
            </w:pPr>
            <w:r>
              <w:rPr>
                <w:rFonts w:hint="eastAsia" w:ascii="宋体" w:hAnsi="宋体" w:eastAsia="宋体" w:cs="宋体"/>
                <w:szCs w:val="21"/>
              </w:rPr>
              <w:t>资金结算</w:t>
            </w:r>
          </w:p>
        </w:tc>
        <w:tc>
          <w:tcPr>
            <w:tcW w:w="2212" w:type="dxa"/>
            <w:vMerge w:val="continue"/>
            <w:vAlign w:val="center"/>
          </w:tcPr>
          <w:p w14:paraId="627F0306">
            <w:pPr>
              <w:spacing w:after="0" w:line="360" w:lineRule="auto"/>
              <w:ind w:firstLine="420" w:firstLineChars="200"/>
              <w:rPr>
                <w:rFonts w:hint="eastAsia" w:ascii="宋体" w:hAnsi="宋体" w:eastAsia="宋体" w:cs="宋体"/>
                <w:szCs w:val="21"/>
              </w:rPr>
            </w:pPr>
          </w:p>
        </w:tc>
      </w:tr>
      <w:tr w14:paraId="2C58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4AC6D771">
            <w:pPr>
              <w:spacing w:after="0" w:line="360" w:lineRule="auto"/>
              <w:ind w:firstLine="420" w:firstLineChars="200"/>
              <w:jc w:val="center"/>
              <w:rPr>
                <w:rFonts w:hint="eastAsia" w:ascii="宋体" w:hAnsi="宋体" w:eastAsia="宋体" w:cs="宋体"/>
                <w:szCs w:val="21"/>
              </w:rPr>
            </w:pPr>
          </w:p>
        </w:tc>
        <w:tc>
          <w:tcPr>
            <w:tcW w:w="4578" w:type="dxa"/>
            <w:vAlign w:val="center"/>
          </w:tcPr>
          <w:p w14:paraId="7BFDF866">
            <w:pPr>
              <w:spacing w:after="0" w:line="360" w:lineRule="auto"/>
              <w:jc w:val="center"/>
              <w:rPr>
                <w:rFonts w:hint="eastAsia" w:ascii="宋体" w:hAnsi="宋体" w:eastAsia="宋体" w:cs="宋体"/>
                <w:szCs w:val="21"/>
              </w:rPr>
            </w:pPr>
            <w:r>
              <w:rPr>
                <w:rFonts w:hint="eastAsia" w:ascii="宋体" w:hAnsi="宋体" w:eastAsia="宋体" w:cs="宋体"/>
                <w:szCs w:val="21"/>
              </w:rPr>
              <w:t>票据（银行承兑）管理</w:t>
            </w:r>
          </w:p>
        </w:tc>
        <w:tc>
          <w:tcPr>
            <w:tcW w:w="2212" w:type="dxa"/>
            <w:vMerge w:val="continue"/>
            <w:vAlign w:val="center"/>
          </w:tcPr>
          <w:p w14:paraId="6BA91BEA">
            <w:pPr>
              <w:spacing w:after="0" w:line="360" w:lineRule="auto"/>
              <w:ind w:firstLine="420" w:firstLineChars="200"/>
              <w:rPr>
                <w:rFonts w:hint="eastAsia" w:ascii="宋体" w:hAnsi="宋体" w:eastAsia="宋体" w:cs="宋体"/>
                <w:szCs w:val="21"/>
              </w:rPr>
            </w:pPr>
          </w:p>
        </w:tc>
      </w:tr>
      <w:tr w14:paraId="5387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1EA7434C">
            <w:pPr>
              <w:spacing w:after="0" w:line="360" w:lineRule="auto"/>
              <w:ind w:firstLine="420" w:firstLineChars="200"/>
              <w:jc w:val="center"/>
              <w:rPr>
                <w:rFonts w:hint="eastAsia" w:ascii="宋体" w:hAnsi="宋体" w:eastAsia="宋体" w:cs="宋体"/>
                <w:szCs w:val="21"/>
              </w:rPr>
            </w:pPr>
          </w:p>
        </w:tc>
        <w:tc>
          <w:tcPr>
            <w:tcW w:w="4578" w:type="dxa"/>
            <w:vAlign w:val="center"/>
          </w:tcPr>
          <w:p w14:paraId="703AF9D9">
            <w:pPr>
              <w:spacing w:after="0" w:line="360" w:lineRule="auto"/>
              <w:jc w:val="center"/>
              <w:rPr>
                <w:rFonts w:hint="eastAsia" w:ascii="宋体" w:hAnsi="宋体" w:eastAsia="宋体" w:cs="宋体"/>
                <w:szCs w:val="21"/>
              </w:rPr>
            </w:pPr>
            <w:r>
              <w:rPr>
                <w:rFonts w:hint="eastAsia" w:ascii="宋体" w:hAnsi="宋体" w:eastAsia="宋体" w:cs="宋体"/>
                <w:szCs w:val="21"/>
              </w:rPr>
              <w:t>资金池管理</w:t>
            </w:r>
          </w:p>
        </w:tc>
        <w:tc>
          <w:tcPr>
            <w:tcW w:w="2212" w:type="dxa"/>
            <w:vMerge w:val="continue"/>
            <w:vAlign w:val="center"/>
          </w:tcPr>
          <w:p w14:paraId="06458F4B">
            <w:pPr>
              <w:spacing w:after="0" w:line="360" w:lineRule="auto"/>
              <w:ind w:firstLine="420" w:firstLineChars="200"/>
              <w:rPr>
                <w:rFonts w:hint="eastAsia" w:ascii="宋体" w:hAnsi="宋体" w:eastAsia="宋体" w:cs="宋体"/>
                <w:szCs w:val="21"/>
              </w:rPr>
            </w:pPr>
          </w:p>
        </w:tc>
      </w:tr>
      <w:tr w14:paraId="45FD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2B050510">
            <w:pPr>
              <w:spacing w:after="0" w:line="360" w:lineRule="auto"/>
              <w:ind w:firstLine="420" w:firstLineChars="200"/>
              <w:jc w:val="center"/>
              <w:rPr>
                <w:rFonts w:hint="eastAsia" w:ascii="宋体" w:hAnsi="宋体" w:eastAsia="宋体" w:cs="宋体"/>
                <w:szCs w:val="21"/>
              </w:rPr>
            </w:pPr>
          </w:p>
        </w:tc>
        <w:tc>
          <w:tcPr>
            <w:tcW w:w="4578" w:type="dxa"/>
            <w:vAlign w:val="center"/>
          </w:tcPr>
          <w:p w14:paraId="3D956194">
            <w:pPr>
              <w:spacing w:after="0" w:line="360" w:lineRule="auto"/>
              <w:jc w:val="center"/>
              <w:rPr>
                <w:rFonts w:hint="eastAsia" w:ascii="宋体" w:hAnsi="宋体" w:eastAsia="宋体" w:cs="宋体"/>
                <w:szCs w:val="21"/>
              </w:rPr>
            </w:pPr>
            <w:r>
              <w:rPr>
                <w:rFonts w:hint="eastAsia" w:ascii="宋体" w:hAnsi="宋体" w:eastAsia="宋体" w:cs="宋体"/>
                <w:szCs w:val="21"/>
              </w:rPr>
              <w:t>融资管理</w:t>
            </w:r>
          </w:p>
        </w:tc>
        <w:tc>
          <w:tcPr>
            <w:tcW w:w="2212" w:type="dxa"/>
            <w:vMerge w:val="continue"/>
            <w:vAlign w:val="center"/>
          </w:tcPr>
          <w:p w14:paraId="3518BF3B">
            <w:pPr>
              <w:spacing w:after="0" w:line="360" w:lineRule="auto"/>
              <w:ind w:firstLine="420" w:firstLineChars="200"/>
              <w:rPr>
                <w:rFonts w:hint="eastAsia" w:ascii="宋体" w:hAnsi="宋体" w:eastAsia="宋体" w:cs="宋体"/>
                <w:szCs w:val="21"/>
              </w:rPr>
            </w:pPr>
          </w:p>
        </w:tc>
      </w:tr>
      <w:tr w14:paraId="3C90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5CF15640">
            <w:pPr>
              <w:spacing w:after="0" w:line="360" w:lineRule="auto"/>
              <w:ind w:firstLine="420" w:firstLineChars="200"/>
              <w:jc w:val="center"/>
              <w:rPr>
                <w:rFonts w:hint="eastAsia" w:ascii="宋体" w:hAnsi="宋体" w:eastAsia="宋体" w:cs="宋体"/>
                <w:szCs w:val="21"/>
              </w:rPr>
            </w:pPr>
          </w:p>
        </w:tc>
        <w:tc>
          <w:tcPr>
            <w:tcW w:w="4578" w:type="dxa"/>
            <w:vAlign w:val="center"/>
          </w:tcPr>
          <w:p w14:paraId="7C89CE6B">
            <w:pPr>
              <w:spacing w:after="0" w:line="360" w:lineRule="auto"/>
              <w:jc w:val="center"/>
              <w:rPr>
                <w:rFonts w:hint="eastAsia" w:ascii="宋体" w:hAnsi="宋体" w:eastAsia="宋体" w:cs="宋体"/>
                <w:szCs w:val="21"/>
              </w:rPr>
            </w:pPr>
            <w:r>
              <w:rPr>
                <w:rFonts w:hint="eastAsia" w:ascii="宋体" w:hAnsi="宋体" w:eastAsia="宋体" w:cs="宋体"/>
                <w:szCs w:val="21"/>
              </w:rPr>
              <w:t>资金分析</w:t>
            </w:r>
          </w:p>
        </w:tc>
        <w:tc>
          <w:tcPr>
            <w:tcW w:w="2212" w:type="dxa"/>
            <w:vMerge w:val="continue"/>
            <w:vAlign w:val="center"/>
          </w:tcPr>
          <w:p w14:paraId="0E4054F8">
            <w:pPr>
              <w:spacing w:after="0" w:line="360" w:lineRule="auto"/>
              <w:ind w:firstLine="420" w:firstLineChars="200"/>
              <w:rPr>
                <w:rFonts w:hint="eastAsia" w:ascii="宋体" w:hAnsi="宋体" w:eastAsia="宋体" w:cs="宋体"/>
                <w:szCs w:val="21"/>
              </w:rPr>
            </w:pPr>
          </w:p>
        </w:tc>
      </w:tr>
      <w:bookmarkEnd w:id="30"/>
      <w:tr w14:paraId="1CE2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restart"/>
            <w:vAlign w:val="center"/>
          </w:tcPr>
          <w:p w14:paraId="14C98499">
            <w:pPr>
              <w:spacing w:after="0" w:line="360" w:lineRule="auto"/>
              <w:jc w:val="center"/>
              <w:rPr>
                <w:rFonts w:hint="eastAsia" w:ascii="宋体" w:hAnsi="宋体" w:eastAsia="宋体" w:cs="宋体"/>
                <w:szCs w:val="21"/>
              </w:rPr>
            </w:pPr>
            <w:r>
              <w:rPr>
                <w:rFonts w:hint="eastAsia" w:ascii="宋体" w:hAnsi="宋体" w:eastAsia="宋体" w:cs="宋体"/>
                <w:szCs w:val="21"/>
              </w:rPr>
              <w:t>系统集成</w:t>
            </w:r>
          </w:p>
        </w:tc>
        <w:tc>
          <w:tcPr>
            <w:tcW w:w="4578" w:type="dxa"/>
            <w:vAlign w:val="center"/>
          </w:tcPr>
          <w:p w14:paraId="55A89267">
            <w:pPr>
              <w:spacing w:after="0" w:line="360" w:lineRule="auto"/>
              <w:jc w:val="center"/>
              <w:rPr>
                <w:rFonts w:hint="eastAsia" w:ascii="宋体" w:hAnsi="宋体" w:eastAsia="宋体" w:cs="宋体"/>
                <w:szCs w:val="21"/>
              </w:rPr>
            </w:pPr>
            <w:r>
              <w:rPr>
                <w:rFonts w:hint="eastAsia" w:ascii="宋体" w:hAnsi="宋体" w:eastAsia="宋体" w:cs="宋体"/>
                <w:szCs w:val="21"/>
              </w:rPr>
              <w:t>OA系统</w:t>
            </w:r>
          </w:p>
        </w:tc>
        <w:tc>
          <w:tcPr>
            <w:tcW w:w="2212" w:type="dxa"/>
            <w:vMerge w:val="continue"/>
            <w:vAlign w:val="center"/>
          </w:tcPr>
          <w:p w14:paraId="0A713F0F">
            <w:pPr>
              <w:spacing w:after="0" w:line="360" w:lineRule="auto"/>
              <w:ind w:firstLine="420" w:firstLineChars="200"/>
              <w:rPr>
                <w:rFonts w:hint="eastAsia" w:ascii="宋体" w:hAnsi="宋体" w:eastAsia="宋体" w:cs="宋体"/>
                <w:szCs w:val="21"/>
              </w:rPr>
            </w:pPr>
          </w:p>
        </w:tc>
      </w:tr>
      <w:tr w14:paraId="39F2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00A17102">
            <w:pPr>
              <w:spacing w:after="0" w:line="360" w:lineRule="auto"/>
              <w:ind w:firstLine="420" w:firstLineChars="200"/>
              <w:rPr>
                <w:rFonts w:hint="eastAsia" w:ascii="宋体" w:hAnsi="宋体" w:eastAsia="宋体" w:cs="宋体"/>
                <w:szCs w:val="21"/>
              </w:rPr>
            </w:pPr>
          </w:p>
        </w:tc>
        <w:tc>
          <w:tcPr>
            <w:tcW w:w="4578" w:type="dxa"/>
            <w:vAlign w:val="center"/>
          </w:tcPr>
          <w:p w14:paraId="0B6C9EC2">
            <w:pPr>
              <w:spacing w:after="0" w:line="360" w:lineRule="auto"/>
              <w:jc w:val="center"/>
              <w:rPr>
                <w:rFonts w:hint="eastAsia" w:ascii="宋体" w:hAnsi="宋体" w:eastAsia="宋体" w:cs="宋体"/>
                <w:szCs w:val="21"/>
              </w:rPr>
            </w:pPr>
            <w:r>
              <w:rPr>
                <w:rFonts w:hint="eastAsia" w:ascii="宋体" w:hAnsi="宋体" w:eastAsia="宋体" w:cs="宋体"/>
                <w:szCs w:val="21"/>
              </w:rPr>
              <w:t>宁波银行财资系统</w:t>
            </w:r>
          </w:p>
        </w:tc>
        <w:tc>
          <w:tcPr>
            <w:tcW w:w="2212" w:type="dxa"/>
            <w:vMerge w:val="continue"/>
            <w:vAlign w:val="center"/>
          </w:tcPr>
          <w:p w14:paraId="553AFAA5">
            <w:pPr>
              <w:spacing w:after="0" w:line="360" w:lineRule="auto"/>
              <w:ind w:firstLine="420" w:firstLineChars="200"/>
              <w:rPr>
                <w:rFonts w:hint="eastAsia" w:ascii="宋体" w:hAnsi="宋体" w:eastAsia="宋体" w:cs="宋体"/>
                <w:szCs w:val="21"/>
              </w:rPr>
            </w:pPr>
          </w:p>
        </w:tc>
      </w:tr>
      <w:tr w14:paraId="3679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14:paraId="39A532FB">
            <w:pPr>
              <w:spacing w:after="0" w:line="360" w:lineRule="auto"/>
              <w:ind w:firstLine="420" w:firstLineChars="200"/>
              <w:rPr>
                <w:rFonts w:hint="eastAsia" w:ascii="宋体" w:hAnsi="宋体" w:eastAsia="宋体" w:cs="宋体"/>
                <w:szCs w:val="21"/>
              </w:rPr>
            </w:pPr>
          </w:p>
        </w:tc>
        <w:tc>
          <w:tcPr>
            <w:tcW w:w="4578" w:type="dxa"/>
            <w:vAlign w:val="center"/>
          </w:tcPr>
          <w:p w14:paraId="4B49BC5B">
            <w:pPr>
              <w:spacing w:after="0" w:line="360" w:lineRule="auto"/>
              <w:jc w:val="center"/>
              <w:rPr>
                <w:rFonts w:hint="eastAsia" w:ascii="宋体" w:hAnsi="宋体" w:eastAsia="宋体" w:cs="宋体"/>
                <w:szCs w:val="21"/>
              </w:rPr>
            </w:pPr>
            <w:r>
              <w:rPr>
                <w:rFonts w:hint="eastAsia" w:ascii="宋体" w:hAnsi="宋体" w:eastAsia="宋体" w:cs="宋体"/>
                <w:szCs w:val="21"/>
              </w:rPr>
              <w:t>NC系统</w:t>
            </w:r>
          </w:p>
        </w:tc>
        <w:tc>
          <w:tcPr>
            <w:tcW w:w="2212" w:type="dxa"/>
            <w:vMerge w:val="continue"/>
            <w:vAlign w:val="center"/>
          </w:tcPr>
          <w:p w14:paraId="7314429B">
            <w:pPr>
              <w:spacing w:after="0" w:line="360" w:lineRule="auto"/>
              <w:ind w:firstLine="420" w:firstLineChars="200"/>
              <w:rPr>
                <w:rFonts w:hint="eastAsia" w:ascii="宋体" w:hAnsi="宋体" w:eastAsia="宋体" w:cs="宋体"/>
                <w:szCs w:val="21"/>
              </w:rPr>
            </w:pPr>
          </w:p>
        </w:tc>
      </w:tr>
      <w:tr w14:paraId="57E6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71" w:type="dxa"/>
            <w:vMerge w:val="continue"/>
            <w:vAlign w:val="center"/>
          </w:tcPr>
          <w:p w14:paraId="35C0F037">
            <w:pPr>
              <w:spacing w:after="0" w:line="360" w:lineRule="auto"/>
              <w:ind w:firstLine="420" w:firstLineChars="200"/>
              <w:rPr>
                <w:rFonts w:hint="eastAsia" w:ascii="宋体" w:hAnsi="宋体" w:eastAsia="宋体" w:cs="宋体"/>
                <w:szCs w:val="21"/>
              </w:rPr>
            </w:pPr>
          </w:p>
        </w:tc>
        <w:tc>
          <w:tcPr>
            <w:tcW w:w="4578" w:type="dxa"/>
            <w:vAlign w:val="center"/>
          </w:tcPr>
          <w:p w14:paraId="05926655">
            <w:pPr>
              <w:spacing w:after="0" w:line="360" w:lineRule="auto"/>
              <w:jc w:val="center"/>
              <w:rPr>
                <w:rFonts w:hint="eastAsia" w:ascii="宋体" w:hAnsi="宋体" w:eastAsia="宋体" w:cs="宋体"/>
                <w:szCs w:val="21"/>
              </w:rPr>
            </w:pPr>
            <w:r>
              <w:rPr>
                <w:rFonts w:hint="eastAsia" w:ascii="宋体" w:hAnsi="宋体" w:eastAsia="宋体" w:cs="宋体"/>
                <w:szCs w:val="21"/>
              </w:rPr>
              <w:t>国资监管信用报送</w:t>
            </w:r>
          </w:p>
        </w:tc>
        <w:tc>
          <w:tcPr>
            <w:tcW w:w="2212" w:type="dxa"/>
            <w:vMerge w:val="continue"/>
            <w:vAlign w:val="center"/>
          </w:tcPr>
          <w:p w14:paraId="6211FBA1">
            <w:pPr>
              <w:spacing w:after="0" w:line="360" w:lineRule="auto"/>
              <w:ind w:firstLine="420" w:firstLineChars="200"/>
              <w:rPr>
                <w:rFonts w:hint="eastAsia" w:ascii="宋体" w:hAnsi="宋体" w:eastAsia="宋体" w:cs="宋体"/>
                <w:szCs w:val="21"/>
              </w:rPr>
            </w:pPr>
          </w:p>
        </w:tc>
      </w:tr>
    </w:tbl>
    <w:p w14:paraId="3417A3C9">
      <w:pPr>
        <w:spacing w:after="0" w:line="360" w:lineRule="auto"/>
        <w:ind w:firstLine="422" w:firstLineChars="200"/>
        <w:rPr>
          <w:rFonts w:hint="eastAsia" w:ascii="宋体" w:hAnsi="宋体" w:cs="宋体"/>
          <w:b/>
          <w:bCs/>
          <w:szCs w:val="21"/>
          <w:lang w:val="en-US" w:eastAsia="zh-CN"/>
        </w:rPr>
      </w:pPr>
      <w:bookmarkStart w:id="31" w:name="_Toc31199"/>
    </w:p>
    <w:p w14:paraId="020864D1">
      <w:pPr>
        <w:spacing w:after="0"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三、项目建设需求</w:t>
      </w:r>
      <w:bookmarkEnd w:id="31"/>
    </w:p>
    <w:p w14:paraId="1C0D2B5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 基础平台</w:t>
      </w:r>
    </w:p>
    <w:p w14:paraId="4AA9393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3.1.1基础服务平台</w:t>
      </w:r>
    </w:p>
    <w:p w14:paraId="6EA90577">
      <w:pPr>
        <w:spacing w:after="0" w:line="360" w:lineRule="auto"/>
        <w:ind w:firstLine="420" w:firstLineChars="200"/>
        <w:rPr>
          <w:rFonts w:hint="eastAsia" w:ascii="宋体" w:hAnsi="宋体" w:eastAsia="宋体" w:cs="宋体"/>
          <w:szCs w:val="21"/>
        </w:rPr>
      </w:pPr>
      <w:bookmarkStart w:id="32" w:name="_Toc12722"/>
      <w:bookmarkStart w:id="33" w:name="_Toc28363"/>
      <w:r>
        <w:rPr>
          <w:rFonts w:hint="eastAsia" w:ascii="宋体" w:hAnsi="宋体" w:eastAsia="宋体" w:cs="宋体"/>
          <w:szCs w:val="21"/>
        </w:rPr>
        <w:t>支持</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以及国瑞科技</w:t>
      </w:r>
      <w:r>
        <w:rPr>
          <w:rFonts w:hint="eastAsia" w:ascii="宋体" w:hAnsi="宋体" w:eastAsia="宋体" w:cs="宋体"/>
          <w:szCs w:val="21"/>
        </w:rPr>
        <w:t>多组织架构，满足</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以及国瑞科技</w:t>
      </w:r>
      <w:r>
        <w:rPr>
          <w:rFonts w:hint="eastAsia" w:ascii="宋体" w:hAnsi="宋体" w:eastAsia="宋体" w:cs="宋体"/>
          <w:szCs w:val="21"/>
        </w:rPr>
        <w:t>架构下</w:t>
      </w:r>
      <w:r>
        <w:rPr>
          <w:rFonts w:hint="eastAsia" w:ascii="宋体" w:hAnsi="宋体" w:eastAsia="宋体" w:cs="宋体"/>
          <w:szCs w:val="21"/>
          <w:lang w:eastAsia="zh-CN"/>
        </w:rPr>
        <w:t>司库管理系统</w:t>
      </w:r>
      <w:r>
        <w:rPr>
          <w:rFonts w:hint="eastAsia" w:ascii="宋体" w:hAnsi="宋体" w:eastAsia="宋体" w:cs="宋体"/>
          <w:szCs w:val="21"/>
        </w:rPr>
        <w:t>的复杂功能需求；</w:t>
      </w:r>
    </w:p>
    <w:p w14:paraId="279C517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定义主数据、公共数据的管理规则，对角色、用户的权限配置，以及提供相关系统运行基础配置的能力。</w:t>
      </w:r>
    </w:p>
    <w:bookmarkEnd w:id="32"/>
    <w:bookmarkEnd w:id="33"/>
    <w:p w14:paraId="1AB3A4F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3.1.2工作流平台</w:t>
      </w:r>
    </w:p>
    <w:p w14:paraId="2E276F6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3.1.2.1 </w:t>
      </w:r>
      <w:r>
        <w:rPr>
          <w:rFonts w:hint="eastAsia" w:ascii="宋体" w:hAnsi="宋体" w:eastAsia="宋体" w:cs="宋体"/>
          <w:szCs w:val="21"/>
        </w:rPr>
        <w:t>提供灵活的工作流自定义的配置平台，实现业务审批流程的灵活设置。</w:t>
      </w:r>
    </w:p>
    <w:p w14:paraId="274C60C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3.1.2.2 </w:t>
      </w:r>
      <w:r>
        <w:rPr>
          <w:rFonts w:hint="eastAsia" w:ascii="宋体" w:hAnsi="宋体" w:eastAsia="宋体" w:cs="宋体"/>
          <w:szCs w:val="21"/>
        </w:rPr>
        <w:t>标准产品中须至少包含可配置权限管理服务组件、可配置工作流引擎服务组件及移动应用服务组件，并且上述服务组件在投标日前已在标准产品中达到可使用状态。</w:t>
      </w:r>
    </w:p>
    <w:p w14:paraId="32748167">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3.1.2.3 </w:t>
      </w:r>
      <w:r>
        <w:rPr>
          <w:rFonts w:hint="eastAsia" w:ascii="宋体" w:hAnsi="宋体" w:eastAsia="宋体" w:cs="宋体"/>
          <w:szCs w:val="21"/>
        </w:rPr>
        <w:t>可配置工作流引擎服务组件的主要功能包括但不限于：通过配置进行工作流的流程管理；可视化设计、实现、流程跟踪监控。</w:t>
      </w:r>
    </w:p>
    <w:p w14:paraId="54EB7D1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3.1.3</w:t>
      </w:r>
      <w:r>
        <w:rPr>
          <w:rFonts w:hint="eastAsia" w:ascii="宋体" w:hAnsi="宋体" w:cs="宋体"/>
          <w:szCs w:val="21"/>
          <w:lang w:val="en-US" w:eastAsia="zh-CN"/>
        </w:rPr>
        <w:t xml:space="preserve"> </w:t>
      </w:r>
      <w:r>
        <w:rPr>
          <w:rFonts w:hint="eastAsia" w:ascii="宋体" w:hAnsi="宋体" w:eastAsia="宋体" w:cs="宋体"/>
          <w:szCs w:val="21"/>
        </w:rPr>
        <w:t>报表平台</w:t>
      </w:r>
    </w:p>
    <w:p w14:paraId="5FE655E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报表平台是为满足各类用户在报表分析方面的综合要求，提供的一个分析型报表的解决方案。其核心是基于语义模型定义自由报表，其格式设计中可进行各类分析设置；设计好的自由报表可发布为节点，供用户进行实时查询分析和定时订阅发布等各种方式的使用。</w:t>
      </w:r>
    </w:p>
    <w:p w14:paraId="541564E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3.1.4</w:t>
      </w:r>
      <w:r>
        <w:rPr>
          <w:rFonts w:hint="eastAsia" w:ascii="宋体" w:hAnsi="宋体" w:cs="宋体"/>
          <w:szCs w:val="21"/>
          <w:lang w:val="en-US" w:eastAsia="zh-CN"/>
        </w:rPr>
        <w:t xml:space="preserve"> </w:t>
      </w:r>
      <w:r>
        <w:rPr>
          <w:rFonts w:hint="eastAsia" w:ascii="宋体" w:hAnsi="宋体" w:eastAsia="宋体" w:cs="宋体"/>
          <w:szCs w:val="21"/>
        </w:rPr>
        <w:t>集成平台</w:t>
      </w:r>
    </w:p>
    <w:p w14:paraId="00325B3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集成平台用于外部系统和</w:t>
      </w:r>
      <w:r>
        <w:rPr>
          <w:rFonts w:hint="eastAsia" w:ascii="宋体" w:hAnsi="宋体" w:eastAsia="宋体" w:cs="宋体"/>
          <w:szCs w:val="21"/>
          <w:lang w:val="en-US" w:eastAsia="zh-CN"/>
        </w:rPr>
        <w:t>二轻集团</w:t>
      </w:r>
      <w:r>
        <w:rPr>
          <w:rFonts w:hint="eastAsia" w:ascii="宋体" w:hAnsi="宋体" w:eastAsia="宋体" w:cs="宋体"/>
          <w:szCs w:val="21"/>
          <w:lang w:eastAsia="zh-CN"/>
        </w:rPr>
        <w:t>司库管理系统</w:t>
      </w:r>
      <w:r>
        <w:rPr>
          <w:rFonts w:hint="eastAsia" w:ascii="宋体" w:hAnsi="宋体" w:eastAsia="宋体" w:cs="宋体"/>
          <w:szCs w:val="21"/>
          <w:lang w:val="en-US" w:eastAsia="zh-CN"/>
        </w:rPr>
        <w:t>以及国瑞科技司库管理系统进</w:t>
      </w:r>
      <w:r>
        <w:rPr>
          <w:rFonts w:hint="eastAsia" w:ascii="宋体" w:hAnsi="宋体" w:eastAsia="宋体" w:cs="宋体"/>
          <w:szCs w:val="21"/>
        </w:rPr>
        <w:t>行集成。</w:t>
      </w:r>
    </w:p>
    <w:p w14:paraId="10D2784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3.1.4.1 </w:t>
      </w:r>
      <w:r>
        <w:rPr>
          <w:rFonts w:hint="eastAsia" w:ascii="宋体" w:hAnsi="宋体" w:eastAsia="宋体" w:cs="宋体"/>
          <w:szCs w:val="21"/>
        </w:rPr>
        <w:t>要求集成接口在数据格式、集成频率、传输协议及接口开发方面遵循规范化和标准化原则，遵循通用技术接口开发标准和规范。</w:t>
      </w:r>
    </w:p>
    <w:p w14:paraId="40B19D3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3.1.4.2 </w:t>
      </w:r>
      <w:r>
        <w:rPr>
          <w:rFonts w:hint="eastAsia" w:ascii="宋体" w:hAnsi="宋体" w:eastAsia="宋体" w:cs="宋体"/>
          <w:szCs w:val="21"/>
        </w:rPr>
        <w:t>系统提供开放的、标准的应用编程接口，不绑定具体技术，基于接口与其他软硬件产品进行互连和数据交换。对操作系统、硬件、软件无绑定，具有可移植性和高兼容性，具备集群能力。</w:t>
      </w:r>
    </w:p>
    <w:p w14:paraId="2E2371A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3.1.4.2 </w:t>
      </w:r>
      <w:r>
        <w:rPr>
          <w:rFonts w:hint="eastAsia" w:ascii="宋体" w:hAnsi="宋体" w:eastAsia="宋体" w:cs="宋体"/>
          <w:szCs w:val="21"/>
        </w:rPr>
        <w:t>系统的设计、开发和部署支持招标人当前业务需求及今后的业务发展，系统具有可扩展性。</w:t>
      </w:r>
    </w:p>
    <w:p w14:paraId="47FAFD81">
      <w:pPr>
        <w:spacing w:after="0" w:line="360" w:lineRule="auto"/>
        <w:ind w:firstLine="420" w:firstLineChars="200"/>
        <w:rPr>
          <w:rFonts w:hint="eastAsia" w:ascii="宋体" w:hAnsi="宋体" w:eastAsia="宋体" w:cs="宋体"/>
          <w:szCs w:val="21"/>
        </w:rPr>
      </w:pPr>
      <w:bookmarkStart w:id="34" w:name="_Toc15016"/>
      <w:bookmarkStart w:id="35" w:name="_Toc26508"/>
      <w:r>
        <w:rPr>
          <w:rFonts w:hint="eastAsia" w:ascii="宋体" w:hAnsi="宋体" w:eastAsia="宋体" w:cs="宋体"/>
          <w:szCs w:val="21"/>
        </w:rPr>
        <w:t>3.2 司库管理</w:t>
      </w:r>
    </w:p>
    <w:p w14:paraId="6071B14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3.2.1账户管理</w:t>
      </w:r>
    </w:p>
    <w:p w14:paraId="16588DD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3.2.1.1</w:t>
      </w:r>
      <w:r>
        <w:rPr>
          <w:rFonts w:hint="eastAsia" w:ascii="宋体" w:hAnsi="宋体" w:eastAsia="宋体" w:cs="宋体"/>
          <w:szCs w:val="21"/>
        </w:rPr>
        <w:t>能够进行银行账户开立、变更、销户线上管理。支持银行账户开、变、销的线上审批，包括直连银行和非直连银行，银行账户完成开变销后，申请单位主动在系统中维护银行账户数据，包括：户名、银行名称、账号、地址、业务关系类型。</w:t>
      </w:r>
    </w:p>
    <w:p w14:paraId="0A6BF86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3.2.1.2 </w:t>
      </w:r>
      <w:r>
        <w:rPr>
          <w:rFonts w:hint="eastAsia" w:ascii="宋体" w:hAnsi="宋体" w:eastAsia="宋体" w:cs="宋体"/>
          <w:szCs w:val="21"/>
        </w:rPr>
        <w:t>自动获取、手工填报银行账户的资金余额和收支明细，提供集团内所有账户的统一查询统计，为实现资金归集、账户可视化、支付结算、数据分析奠定基础。</w:t>
      </w:r>
    </w:p>
    <w:p w14:paraId="45326DC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3.2.1.3 </w:t>
      </w:r>
      <w:r>
        <w:rPr>
          <w:rFonts w:hint="eastAsia" w:ascii="宋体" w:hAnsi="宋体" w:eastAsia="宋体" w:cs="宋体"/>
          <w:szCs w:val="21"/>
        </w:rPr>
        <w:t>需支持银行账户内部检查，通过系统进行检查和清理，对不符合</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以及国瑞科技</w:t>
      </w:r>
      <w:r>
        <w:rPr>
          <w:rFonts w:hint="eastAsia" w:ascii="宋体" w:hAnsi="宋体" w:eastAsia="宋体" w:cs="宋体"/>
          <w:szCs w:val="21"/>
        </w:rPr>
        <w:t>要求的低效、无效等账户进行提醒和预警。</w:t>
      </w:r>
    </w:p>
    <w:p w14:paraId="4374CFF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3.2.1.4 </w:t>
      </w:r>
      <w:r>
        <w:rPr>
          <w:rFonts w:hint="eastAsia" w:ascii="宋体" w:hAnsi="宋体" w:eastAsia="宋体" w:cs="宋体"/>
          <w:szCs w:val="21"/>
        </w:rPr>
        <w:t>深化银企直联管理，通过司库平台对所有账户信息进行全面掌握，对资金进行动态监控，支持</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以及国瑞科技</w:t>
      </w:r>
      <w:r>
        <w:rPr>
          <w:rFonts w:hint="eastAsia" w:ascii="宋体" w:hAnsi="宋体" w:eastAsia="宋体" w:cs="宋体"/>
          <w:szCs w:val="21"/>
        </w:rPr>
        <w:t>灵活配置资金监控规则，满足余额预警、大额支付预警、银企直连通道预警、U盾到期预警等管理诉求，异常信息及时提醒到信息接收方。</w:t>
      </w:r>
    </w:p>
    <w:p w14:paraId="06E960C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3.2.2资金计划</w:t>
      </w:r>
    </w:p>
    <w:p w14:paraId="53D8501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3.2.2.1 </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以及国瑞科技</w:t>
      </w:r>
      <w:r>
        <w:rPr>
          <w:rFonts w:hint="eastAsia" w:ascii="宋体" w:hAnsi="宋体" w:eastAsia="宋体" w:cs="宋体"/>
          <w:szCs w:val="21"/>
        </w:rPr>
        <w:t>可依据企业预算管理颗粒度自主设置预算管理单位，支持多种预算周期管理，可自定义预算周期从年度、月、周等多个维度进行管控。</w:t>
      </w:r>
    </w:p>
    <w:p w14:paraId="3E4AA6B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3.2.2.2 </w:t>
      </w:r>
      <w:r>
        <w:rPr>
          <w:rFonts w:hint="eastAsia" w:ascii="宋体" w:hAnsi="宋体" w:eastAsia="宋体" w:cs="宋体"/>
          <w:szCs w:val="21"/>
        </w:rPr>
        <w:t>系统能够自动获取和整合来自</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w:t>
      </w:r>
      <w:r>
        <w:rPr>
          <w:rFonts w:hint="eastAsia" w:ascii="宋体" w:hAnsi="宋体" w:eastAsia="宋体" w:cs="宋体"/>
          <w:szCs w:val="21"/>
        </w:rPr>
        <w:t>子公司滚动的资金计划信息，提供对不同资金计划的支持，如：日计划、周计划、月计划、年计划等。</w:t>
      </w:r>
    </w:p>
    <w:p w14:paraId="1FAEC17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3.2.2.3 </w:t>
      </w:r>
      <w:r>
        <w:rPr>
          <w:rFonts w:hint="eastAsia" w:ascii="宋体" w:hAnsi="宋体" w:eastAsia="宋体" w:cs="宋体"/>
          <w:szCs w:val="21"/>
        </w:rPr>
        <w:t>系统需要能够提供资金计划与实际情况的比较分析，自动出具资金执行情况表及资金计划分析表，资金执行情况表可支持手工填报。</w:t>
      </w:r>
    </w:p>
    <w:p w14:paraId="36AE717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3.2.3</w:t>
      </w:r>
      <w:r>
        <w:rPr>
          <w:rFonts w:hint="eastAsia" w:ascii="宋体" w:hAnsi="宋体" w:cs="宋体"/>
          <w:szCs w:val="21"/>
          <w:lang w:val="en-US" w:eastAsia="zh-CN"/>
        </w:rPr>
        <w:t xml:space="preserve"> </w:t>
      </w:r>
      <w:r>
        <w:rPr>
          <w:rFonts w:hint="eastAsia" w:ascii="宋体" w:hAnsi="宋体" w:eastAsia="宋体" w:cs="宋体"/>
          <w:szCs w:val="21"/>
        </w:rPr>
        <w:t>资金结算</w:t>
      </w:r>
    </w:p>
    <w:p w14:paraId="57B3628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3.2.3.1</w:t>
      </w:r>
      <w:r>
        <w:rPr>
          <w:rFonts w:hint="eastAsia" w:ascii="宋体" w:hAnsi="宋体" w:eastAsia="宋体" w:cs="宋体"/>
          <w:szCs w:val="21"/>
        </w:rPr>
        <w:t>系统提供对</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以及下属国瑞科技，以及两者所属企业</w:t>
      </w:r>
      <w:r>
        <w:rPr>
          <w:rFonts w:hint="eastAsia" w:ascii="宋体" w:hAnsi="宋体" w:eastAsia="宋体" w:cs="宋体"/>
          <w:szCs w:val="21"/>
        </w:rPr>
        <w:t>从资金系统发起的各种付款申请，或来自于其他系统的付款指令，在资金系统中完成支付，反馈指令结果。</w:t>
      </w:r>
    </w:p>
    <w:p w14:paraId="3047E7E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3.2.3.2</w:t>
      </w:r>
      <w:r>
        <w:rPr>
          <w:rFonts w:hint="eastAsia" w:ascii="宋体" w:hAnsi="宋体" w:eastAsia="宋体" w:cs="宋体"/>
          <w:szCs w:val="21"/>
        </w:rPr>
        <w:t>付款管理需满足企业日常采购、费用、工资、报销多业务场景付款要求，提供跨行、同行及单笔、批量付款功能，支持日常对公、对私付款。</w:t>
      </w:r>
    </w:p>
    <w:p w14:paraId="19FA68A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3.2.4</w:t>
      </w:r>
      <w:r>
        <w:rPr>
          <w:rFonts w:hint="eastAsia" w:ascii="宋体" w:hAnsi="宋体" w:cs="宋体"/>
          <w:szCs w:val="21"/>
          <w:lang w:val="en-US" w:eastAsia="zh-CN"/>
        </w:rPr>
        <w:t xml:space="preserve"> </w:t>
      </w:r>
      <w:r>
        <w:rPr>
          <w:rFonts w:hint="eastAsia" w:ascii="宋体" w:hAnsi="宋体" w:eastAsia="宋体" w:cs="宋体"/>
          <w:szCs w:val="21"/>
        </w:rPr>
        <w:t>票据管理</w:t>
      </w:r>
    </w:p>
    <w:p w14:paraId="2841B50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3.2.4.1 </w:t>
      </w:r>
      <w:r>
        <w:rPr>
          <w:rFonts w:hint="eastAsia" w:ascii="宋体" w:hAnsi="宋体" w:eastAsia="宋体" w:cs="宋体"/>
          <w:szCs w:val="21"/>
        </w:rPr>
        <w:t>建立</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以及下属国瑞科技的</w:t>
      </w:r>
      <w:r>
        <w:rPr>
          <w:rFonts w:hint="eastAsia" w:ascii="宋体" w:hAnsi="宋体" w:eastAsia="宋体" w:cs="宋体"/>
          <w:szCs w:val="21"/>
        </w:rPr>
        <w:t>统一“票据池”，实现票据开立、接收、背书、贴现、兑付的线上管理，积极推动通过与票据交易所直联，实现票据信息的动态采集、可视监控和兑付预警；</w:t>
      </w:r>
    </w:p>
    <w:p w14:paraId="763F104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3.2.4.2 </w:t>
      </w:r>
      <w:r>
        <w:rPr>
          <w:rFonts w:hint="eastAsia" w:ascii="宋体" w:hAnsi="宋体" w:eastAsia="宋体" w:cs="宋体"/>
          <w:szCs w:val="21"/>
        </w:rPr>
        <w:t>票据纳入资金计划管理范畴，充分利用票据参与结算，提高使用效率；</w:t>
      </w:r>
    </w:p>
    <w:p w14:paraId="5EAA4E1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3.2.4.3 </w:t>
      </w:r>
      <w:r>
        <w:rPr>
          <w:rFonts w:hint="eastAsia" w:ascii="宋体" w:hAnsi="宋体" w:eastAsia="宋体" w:cs="宋体"/>
          <w:szCs w:val="21"/>
        </w:rPr>
        <w:t>在做好风险控制和内部转移定价的基础上，探索开展</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w:t>
      </w:r>
      <w:r>
        <w:rPr>
          <w:rFonts w:hint="eastAsia" w:ascii="宋体" w:hAnsi="宋体" w:eastAsia="宋体" w:cs="宋体"/>
          <w:szCs w:val="21"/>
        </w:rPr>
        <w:t>内部电子票据的统筹使用，进一步提高票据周转效率。</w:t>
      </w:r>
    </w:p>
    <w:p w14:paraId="3BCAA13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3.2.5</w:t>
      </w:r>
      <w:r>
        <w:rPr>
          <w:rFonts w:hint="eastAsia" w:ascii="宋体" w:hAnsi="宋体" w:cs="宋体"/>
          <w:szCs w:val="21"/>
          <w:lang w:val="en-US" w:eastAsia="zh-CN"/>
        </w:rPr>
        <w:t xml:space="preserve"> </w:t>
      </w:r>
      <w:r>
        <w:rPr>
          <w:rFonts w:hint="eastAsia" w:ascii="宋体" w:hAnsi="宋体" w:eastAsia="宋体" w:cs="宋体"/>
          <w:szCs w:val="21"/>
        </w:rPr>
        <w:t>资金池管理</w:t>
      </w:r>
    </w:p>
    <w:p w14:paraId="5C150D77">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3.2.5.1 </w:t>
      </w:r>
      <w:r>
        <w:rPr>
          <w:rFonts w:hint="eastAsia" w:ascii="宋体" w:hAnsi="宋体" w:eastAsia="宋体" w:cs="宋体"/>
          <w:szCs w:val="21"/>
        </w:rPr>
        <w:t>针对二轻集团所属企业，采用包括定期归集、实时逐笔归集、按需手工发起等在内的个性化资金集中方式，满足集团管控的要求同时满足各所属单位个性化的管理要求。</w:t>
      </w:r>
    </w:p>
    <w:p w14:paraId="07147DB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3.2.5.2 </w:t>
      </w:r>
      <w:r>
        <w:rPr>
          <w:rFonts w:hint="eastAsia" w:ascii="宋体" w:hAnsi="宋体" w:eastAsia="宋体" w:cs="宋体"/>
          <w:szCs w:val="21"/>
        </w:rPr>
        <w:t>系统应具备灵活的审批流，并能根据需要进行审批流调整，以加强对资金收付的安全控制；</w:t>
      </w:r>
    </w:p>
    <w:p w14:paraId="1C67C12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3.2.5.3 </w:t>
      </w:r>
      <w:r>
        <w:rPr>
          <w:rFonts w:hint="eastAsia" w:ascii="宋体" w:hAnsi="宋体" w:eastAsia="宋体" w:cs="宋体"/>
          <w:szCs w:val="21"/>
        </w:rPr>
        <w:t>可设置资金池上存、短负的内部定价规则，实现差异化内部计价和结算；</w:t>
      </w:r>
    </w:p>
    <w:p w14:paraId="3E480E0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3.2.5.4 </w:t>
      </w:r>
      <w:r>
        <w:rPr>
          <w:rFonts w:hint="eastAsia" w:ascii="宋体" w:hAnsi="宋体" w:eastAsia="宋体" w:cs="宋体"/>
          <w:szCs w:val="21"/>
        </w:rPr>
        <w:t>系统提供实时的资金拨付、资金使用历史和现状查询，并支持自定义类别的分析报表。</w:t>
      </w:r>
    </w:p>
    <w:p w14:paraId="75C8588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3.2.6</w:t>
      </w:r>
      <w:r>
        <w:rPr>
          <w:rFonts w:hint="eastAsia" w:ascii="宋体" w:hAnsi="宋体" w:cs="宋体"/>
          <w:szCs w:val="21"/>
          <w:lang w:val="en-US" w:eastAsia="zh-CN"/>
        </w:rPr>
        <w:t xml:space="preserve"> </w:t>
      </w:r>
      <w:r>
        <w:rPr>
          <w:rFonts w:hint="eastAsia" w:ascii="宋体" w:hAnsi="宋体" w:eastAsia="宋体" w:cs="宋体"/>
          <w:szCs w:val="21"/>
        </w:rPr>
        <w:t>融资管理</w:t>
      </w:r>
    </w:p>
    <w:p w14:paraId="6C6419C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3.2.6.1 </w:t>
      </w:r>
      <w:r>
        <w:rPr>
          <w:rFonts w:hint="eastAsia" w:ascii="宋体" w:hAnsi="宋体" w:eastAsia="宋体" w:cs="宋体"/>
          <w:szCs w:val="21"/>
        </w:rPr>
        <w:t>对授信全生命周期进行管理，包括授信起止时间、授信取得方式、授信类型、授信的占用和释放，查询统计等。</w:t>
      </w:r>
    </w:p>
    <w:p w14:paraId="7BE00CE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3.2.6.2 </w:t>
      </w:r>
      <w:r>
        <w:rPr>
          <w:rFonts w:hint="eastAsia" w:ascii="宋体" w:hAnsi="宋体" w:eastAsia="宋体" w:cs="宋体"/>
          <w:szCs w:val="21"/>
        </w:rPr>
        <w:t>需支持业务到期提醒功能，便于资金人员及时备足资金进行还本及付息。</w:t>
      </w:r>
    </w:p>
    <w:p w14:paraId="25CC774F">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3.2.6.3 </w:t>
      </w:r>
      <w:r>
        <w:rPr>
          <w:rFonts w:hint="eastAsia" w:ascii="宋体" w:hAnsi="宋体" w:eastAsia="宋体" w:cs="宋体"/>
          <w:szCs w:val="21"/>
        </w:rPr>
        <w:t>通过系统可实现融资台账功能，具备全级次录入及汇总功能。融资台账应包括全口径融资品种、金额、期限、成本、融资状态、用途、担保方式、还款计划等。</w:t>
      </w:r>
    </w:p>
    <w:p w14:paraId="0B61911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3.2.6.4 </w:t>
      </w:r>
      <w:r>
        <w:rPr>
          <w:rFonts w:hint="eastAsia" w:ascii="宋体" w:hAnsi="宋体" w:eastAsia="宋体" w:cs="宋体"/>
          <w:szCs w:val="21"/>
        </w:rPr>
        <w:t>支持系统融资台账查询管理，实现对各类融资的明细查询和分类统计，为</w:t>
      </w:r>
      <w:r>
        <w:rPr>
          <w:rFonts w:hint="eastAsia" w:ascii="宋体" w:hAnsi="宋体" w:eastAsia="宋体" w:cs="宋体"/>
          <w:szCs w:val="21"/>
          <w:lang w:val="en-US" w:eastAsia="zh-CN"/>
        </w:rPr>
        <w:t>二轻</w:t>
      </w:r>
      <w:r>
        <w:rPr>
          <w:rFonts w:hint="eastAsia" w:ascii="宋体" w:hAnsi="宋体" w:eastAsia="宋体" w:cs="宋体"/>
          <w:szCs w:val="21"/>
        </w:rPr>
        <w:t>集团</w:t>
      </w:r>
      <w:r>
        <w:rPr>
          <w:rFonts w:hint="eastAsia" w:ascii="宋体" w:hAnsi="宋体" w:eastAsia="宋体" w:cs="宋体"/>
          <w:szCs w:val="21"/>
          <w:lang w:val="en-US" w:eastAsia="zh-CN"/>
        </w:rPr>
        <w:t>以及下属国瑞科技</w:t>
      </w:r>
      <w:r>
        <w:rPr>
          <w:rFonts w:hint="eastAsia" w:ascii="宋体" w:hAnsi="宋体" w:eastAsia="宋体" w:cs="宋体"/>
          <w:szCs w:val="21"/>
        </w:rPr>
        <w:t>金融资源全面可视提供基础。</w:t>
      </w:r>
    </w:p>
    <w:p w14:paraId="10109E1F">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3.2.6.5 </w:t>
      </w:r>
      <w:r>
        <w:rPr>
          <w:rFonts w:hint="eastAsia" w:ascii="宋体" w:hAnsi="宋体" w:eastAsia="宋体" w:cs="宋体"/>
          <w:szCs w:val="21"/>
        </w:rPr>
        <w:t>通过系统可实现融资担保台账功能，具备全级次录入及汇总功能。</w:t>
      </w:r>
    </w:p>
    <w:p w14:paraId="5F1AB81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3.2.6.6 </w:t>
      </w:r>
      <w:r>
        <w:rPr>
          <w:rFonts w:hint="eastAsia" w:ascii="宋体" w:hAnsi="宋体" w:eastAsia="宋体" w:cs="宋体"/>
          <w:szCs w:val="21"/>
        </w:rPr>
        <w:t>融资担保模块具备多维度统计分析功能，如总担保规模、对全资与非全资子公司担保规模、超股比担保情况等。</w:t>
      </w:r>
    </w:p>
    <w:p w14:paraId="6B3B3E7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3.2.6.7 </w:t>
      </w:r>
      <w:r>
        <w:rPr>
          <w:rFonts w:hint="eastAsia" w:ascii="宋体" w:hAnsi="宋体" w:eastAsia="宋体" w:cs="宋体"/>
          <w:szCs w:val="21"/>
        </w:rPr>
        <w:t>融资台账与担保台账建立数据关联。</w:t>
      </w:r>
    </w:p>
    <w:bookmarkEnd w:id="34"/>
    <w:bookmarkEnd w:id="35"/>
    <w:p w14:paraId="26D57FE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3.2.7</w:t>
      </w:r>
      <w:r>
        <w:rPr>
          <w:rFonts w:hint="eastAsia" w:ascii="宋体" w:hAnsi="宋体" w:cs="宋体"/>
          <w:szCs w:val="21"/>
          <w:lang w:val="en-US" w:eastAsia="zh-CN"/>
        </w:rPr>
        <w:t xml:space="preserve"> </w:t>
      </w:r>
      <w:r>
        <w:rPr>
          <w:rFonts w:hint="eastAsia" w:ascii="宋体" w:hAnsi="宋体" w:eastAsia="宋体" w:cs="宋体"/>
          <w:szCs w:val="21"/>
        </w:rPr>
        <w:t>资金分析</w:t>
      </w:r>
    </w:p>
    <w:p w14:paraId="012091F6">
      <w:pPr>
        <w:spacing w:after="0" w:line="360" w:lineRule="auto"/>
        <w:ind w:firstLine="420" w:firstLineChars="200"/>
        <w:rPr>
          <w:rFonts w:hint="eastAsia" w:ascii="宋体" w:hAnsi="宋体" w:eastAsia="宋体" w:cs="宋体"/>
          <w:szCs w:val="21"/>
        </w:rPr>
      </w:pPr>
      <w:bookmarkStart w:id="36" w:name="_Toc7437"/>
      <w:bookmarkStart w:id="37" w:name="_Toc31184"/>
      <w:r>
        <w:rPr>
          <w:rFonts w:hint="eastAsia" w:ascii="宋体" w:hAnsi="宋体" w:cs="宋体"/>
          <w:szCs w:val="21"/>
          <w:lang w:val="en-US" w:eastAsia="zh-CN"/>
        </w:rPr>
        <w:t xml:space="preserve">3.2.7.1 </w:t>
      </w:r>
      <w:r>
        <w:rPr>
          <w:rFonts w:hint="eastAsia" w:ascii="宋体" w:hAnsi="宋体" w:eastAsia="宋体" w:cs="宋体"/>
          <w:szCs w:val="21"/>
        </w:rPr>
        <w:t>能够显示未来一定时期的融资业务（包含贷款、债券、票据、信用证、信托、保理等）到期量，分析集中还款压力；</w:t>
      </w:r>
    </w:p>
    <w:p w14:paraId="3BE5FC4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3.2.7.2 </w:t>
      </w:r>
      <w:r>
        <w:rPr>
          <w:rFonts w:hint="eastAsia" w:ascii="宋体" w:hAnsi="宋体" w:eastAsia="宋体" w:cs="宋体"/>
          <w:szCs w:val="21"/>
        </w:rPr>
        <w:t>显示融资成本走势及成本压力；</w:t>
      </w:r>
    </w:p>
    <w:p w14:paraId="15D0F4D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3.2.7.3 </w:t>
      </w:r>
      <w:r>
        <w:rPr>
          <w:rFonts w:hint="eastAsia" w:ascii="宋体" w:hAnsi="宋体" w:eastAsia="宋体" w:cs="宋体"/>
          <w:szCs w:val="21"/>
        </w:rPr>
        <w:t>计算和显示年度融资、担保预算完成情况；</w:t>
      </w:r>
    </w:p>
    <w:p w14:paraId="463D724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3.2.7.4 </w:t>
      </w:r>
      <w:r>
        <w:rPr>
          <w:rFonts w:hint="eastAsia" w:ascii="宋体" w:hAnsi="宋体" w:eastAsia="宋体" w:cs="宋体"/>
          <w:szCs w:val="21"/>
        </w:rPr>
        <w:t>能够提供面向领导层的领导驾驶舱；</w:t>
      </w:r>
    </w:p>
    <w:p w14:paraId="2A7E746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3.2.7.5 </w:t>
      </w:r>
      <w:r>
        <w:rPr>
          <w:rFonts w:hint="eastAsia" w:ascii="宋体" w:hAnsi="宋体" w:eastAsia="宋体" w:cs="宋体"/>
          <w:szCs w:val="21"/>
        </w:rPr>
        <w:t>系统根据管理的需要，自动生成面向领导层、管理层和操作层的各种报告，报告需要覆盖现金流分析、融资结构和融资成本分析、风险分析等；</w:t>
      </w:r>
    </w:p>
    <w:p w14:paraId="795169D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3.2.7.6 </w:t>
      </w:r>
      <w:r>
        <w:rPr>
          <w:rFonts w:hint="eastAsia" w:ascii="宋体" w:hAnsi="宋体" w:eastAsia="宋体" w:cs="宋体"/>
          <w:szCs w:val="21"/>
        </w:rPr>
        <w:t>除了固定的报表外，系统需要能够支持报表的自定义；</w:t>
      </w:r>
    </w:p>
    <w:p w14:paraId="3BD034A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3.2.7.7 </w:t>
      </w:r>
      <w:r>
        <w:rPr>
          <w:rFonts w:hint="eastAsia" w:ascii="宋体" w:hAnsi="宋体" w:eastAsia="宋体" w:cs="宋体"/>
          <w:szCs w:val="21"/>
        </w:rPr>
        <w:t>各种管理报表需要能够支持导出为 Excel/Word/PDF 等各种格式</w:t>
      </w:r>
    </w:p>
    <w:p w14:paraId="3B762A2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 </w:t>
      </w:r>
      <w:r>
        <w:rPr>
          <w:rFonts w:hint="eastAsia" w:ascii="宋体" w:hAnsi="宋体" w:eastAsia="宋体" w:cs="宋体"/>
          <w:szCs w:val="21"/>
        </w:rPr>
        <w:t>系统集成</w:t>
      </w:r>
      <w:bookmarkEnd w:id="36"/>
      <w:bookmarkEnd w:id="37"/>
    </w:p>
    <w:p w14:paraId="095920A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3.1 </w:t>
      </w:r>
      <w:r>
        <w:rPr>
          <w:rFonts w:hint="eastAsia" w:ascii="宋体" w:hAnsi="宋体" w:eastAsia="宋体" w:cs="宋体"/>
          <w:szCs w:val="21"/>
        </w:rPr>
        <w:t>与OA系统集成：实现</w:t>
      </w:r>
      <w:r>
        <w:rPr>
          <w:rFonts w:hint="eastAsia" w:ascii="宋体" w:hAnsi="宋体" w:eastAsia="宋体" w:cs="宋体"/>
          <w:szCs w:val="21"/>
          <w:lang w:val="en-US" w:eastAsia="zh-CN"/>
        </w:rPr>
        <w:t>二轻集团</w:t>
      </w:r>
      <w:r>
        <w:rPr>
          <w:rFonts w:hint="eastAsia" w:ascii="宋体" w:hAnsi="宋体" w:eastAsia="宋体" w:cs="宋体"/>
          <w:szCs w:val="21"/>
          <w:lang w:eastAsia="zh-CN"/>
        </w:rPr>
        <w:t>司库管理系统</w:t>
      </w:r>
      <w:r>
        <w:rPr>
          <w:rFonts w:hint="eastAsia" w:ascii="宋体" w:hAnsi="宋体" w:eastAsia="宋体" w:cs="宋体"/>
          <w:szCs w:val="21"/>
        </w:rPr>
        <w:t>与OA系统单点登录及审批消息待办集成。</w:t>
      </w:r>
    </w:p>
    <w:p w14:paraId="075CCBE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3.2 </w:t>
      </w:r>
      <w:r>
        <w:rPr>
          <w:rFonts w:hint="eastAsia" w:ascii="宋体" w:hAnsi="宋体" w:eastAsia="宋体" w:cs="宋体"/>
          <w:szCs w:val="21"/>
        </w:rPr>
        <w:t>与</w:t>
      </w:r>
      <w:r>
        <w:rPr>
          <w:rFonts w:hint="eastAsia" w:ascii="宋体" w:hAnsi="宋体" w:eastAsia="宋体" w:cs="宋体"/>
          <w:szCs w:val="21"/>
          <w:lang w:val="en-US" w:eastAsia="zh-CN"/>
        </w:rPr>
        <w:t>二轻集团现有</w:t>
      </w:r>
      <w:r>
        <w:rPr>
          <w:rFonts w:hint="eastAsia" w:ascii="宋体" w:hAnsi="宋体" w:eastAsia="宋体" w:cs="宋体"/>
          <w:szCs w:val="21"/>
        </w:rPr>
        <w:t>宁波银行财资系统集成：包括基础档案、银企直联聚合支付、银行余额、支付流水、电子回单等集成。</w:t>
      </w:r>
    </w:p>
    <w:p w14:paraId="138B467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3.3 </w:t>
      </w:r>
      <w:r>
        <w:rPr>
          <w:rFonts w:hint="eastAsia" w:ascii="宋体" w:hAnsi="宋体" w:eastAsia="宋体" w:cs="宋体"/>
          <w:szCs w:val="21"/>
        </w:rPr>
        <w:t>与二轻</w:t>
      </w:r>
      <w:r>
        <w:rPr>
          <w:rFonts w:hint="eastAsia" w:ascii="宋体" w:hAnsi="宋体" w:eastAsia="宋体" w:cs="宋体"/>
          <w:szCs w:val="21"/>
          <w:lang w:val="en-US" w:eastAsia="zh-CN"/>
        </w:rPr>
        <w:t>集团现有</w:t>
      </w:r>
      <w:r>
        <w:rPr>
          <w:rFonts w:hint="eastAsia" w:ascii="宋体" w:hAnsi="宋体" w:eastAsia="宋体" w:cs="宋体"/>
          <w:szCs w:val="21"/>
        </w:rPr>
        <w:t>NC系统集成：实现与现有NC核算系统基础档案（部门、人员、银行账户、客商）同步、并自动生成凭证。</w:t>
      </w:r>
      <w:bookmarkStart w:id="38" w:name="_Toc21595"/>
    </w:p>
    <w:p w14:paraId="251E745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3.4 </w:t>
      </w:r>
      <w:r>
        <w:rPr>
          <w:rFonts w:hint="eastAsia" w:ascii="宋体" w:hAnsi="宋体" w:eastAsia="宋体" w:cs="宋体"/>
          <w:szCs w:val="21"/>
        </w:rPr>
        <w:t>系统支持同企业钉钉、飞书、短信、彩信、WAP以及客户端软件等其中一种数据交互方式，技术移动财务功能，实现到账即时通，并通过手机等移动终端实现数据查询、上报、审批等各类财务管理以及分析、预警和控制工作。</w:t>
      </w:r>
    </w:p>
    <w:p w14:paraId="0588DE9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3.5 </w:t>
      </w:r>
      <w:r>
        <w:rPr>
          <w:rFonts w:hint="eastAsia" w:ascii="宋体" w:hAnsi="宋体" w:eastAsia="宋体" w:cs="宋体"/>
          <w:szCs w:val="21"/>
          <w:lang w:val="en-US" w:eastAsia="zh-CN"/>
        </w:rPr>
        <w:t>国瑞</w:t>
      </w:r>
      <w:r>
        <w:rPr>
          <w:rFonts w:hint="eastAsia" w:ascii="宋体" w:hAnsi="宋体" w:eastAsia="宋体" w:cs="宋体"/>
          <w:szCs w:val="21"/>
        </w:rPr>
        <w:t>司库与国瑞业务系统集成：基础数据包括客商、银行账户等集成，以及业务系统支付指令传递到</w:t>
      </w:r>
      <w:r>
        <w:rPr>
          <w:rFonts w:hint="eastAsia" w:ascii="宋体" w:hAnsi="宋体" w:eastAsia="宋体" w:cs="宋体"/>
          <w:szCs w:val="21"/>
          <w:lang w:eastAsia="zh-CN"/>
        </w:rPr>
        <w:t>司库管理系统</w:t>
      </w:r>
      <w:r>
        <w:rPr>
          <w:rFonts w:hint="eastAsia" w:ascii="宋体" w:hAnsi="宋体" w:eastAsia="宋体" w:cs="宋体"/>
          <w:szCs w:val="21"/>
        </w:rPr>
        <w:t>对接宁波银行财资系统，获取支付状态返回业务系统，并获取银行流水、回单等信息回传给国瑞业务系统。</w:t>
      </w:r>
    </w:p>
    <w:p w14:paraId="30FFCEB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3.6 </w:t>
      </w:r>
      <w:r>
        <w:rPr>
          <w:rFonts w:hint="eastAsia" w:ascii="宋体" w:hAnsi="宋体" w:eastAsia="宋体" w:cs="宋体"/>
          <w:szCs w:val="21"/>
        </w:rPr>
        <w:t>国瑞</w:t>
      </w:r>
      <w:r>
        <w:rPr>
          <w:rFonts w:hint="eastAsia" w:ascii="宋体" w:hAnsi="宋体" w:eastAsia="宋体" w:cs="宋体"/>
          <w:szCs w:val="21"/>
          <w:lang w:eastAsia="zh-CN"/>
        </w:rPr>
        <w:t>司库管理系统</w:t>
      </w:r>
      <w:r>
        <w:rPr>
          <w:rFonts w:hint="eastAsia" w:ascii="宋体" w:hAnsi="宋体" w:eastAsia="宋体" w:cs="宋体"/>
          <w:szCs w:val="21"/>
        </w:rPr>
        <w:t>与二轻集团</w:t>
      </w:r>
      <w:r>
        <w:rPr>
          <w:rFonts w:hint="eastAsia" w:ascii="宋体" w:hAnsi="宋体" w:eastAsia="宋体" w:cs="宋体"/>
          <w:szCs w:val="21"/>
          <w:lang w:eastAsia="zh-CN"/>
        </w:rPr>
        <w:t>司库管理系统</w:t>
      </w:r>
      <w:r>
        <w:rPr>
          <w:rFonts w:hint="eastAsia" w:ascii="宋体" w:hAnsi="宋体" w:eastAsia="宋体" w:cs="宋体"/>
          <w:szCs w:val="21"/>
        </w:rPr>
        <w:t>集成：将国瑞及下属公司</w:t>
      </w:r>
      <w:r>
        <w:rPr>
          <w:rFonts w:hint="eastAsia" w:ascii="宋体" w:hAnsi="宋体" w:eastAsia="宋体" w:cs="宋体"/>
          <w:szCs w:val="21"/>
          <w:lang w:eastAsia="zh-CN"/>
        </w:rPr>
        <w:t>司库管理系统</w:t>
      </w:r>
      <w:r>
        <w:rPr>
          <w:rFonts w:hint="eastAsia" w:ascii="宋体" w:hAnsi="宋体" w:eastAsia="宋体" w:cs="宋体"/>
          <w:szCs w:val="21"/>
        </w:rPr>
        <w:t>相关基础数据、业务系统单据同步到二轻集团，由二轻集团进行数据汇总、分析，并进行统一数据上报。</w:t>
      </w:r>
    </w:p>
    <w:p w14:paraId="0D446E4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3.7 </w:t>
      </w:r>
      <w:r>
        <w:rPr>
          <w:rFonts w:hint="eastAsia" w:ascii="宋体" w:hAnsi="宋体" w:eastAsia="宋体" w:cs="宋体"/>
          <w:szCs w:val="21"/>
        </w:rPr>
        <w:t>与国资监管系统对接：按国资监管信用上报的要求，将二轻集团</w:t>
      </w:r>
      <w:r>
        <w:rPr>
          <w:rFonts w:hint="eastAsia" w:ascii="宋体" w:hAnsi="宋体" w:eastAsia="宋体" w:cs="宋体"/>
          <w:szCs w:val="21"/>
          <w:lang w:eastAsia="zh-CN"/>
        </w:rPr>
        <w:t>司库管理系统</w:t>
      </w:r>
      <w:r>
        <w:rPr>
          <w:rFonts w:hint="eastAsia" w:ascii="宋体" w:hAnsi="宋体" w:eastAsia="宋体" w:cs="宋体"/>
          <w:szCs w:val="21"/>
        </w:rPr>
        <w:t>的相关数据（含集成国瑞的</w:t>
      </w:r>
      <w:r>
        <w:rPr>
          <w:rFonts w:hint="eastAsia" w:ascii="宋体" w:hAnsi="宋体" w:eastAsia="宋体" w:cs="宋体"/>
          <w:szCs w:val="21"/>
          <w:lang w:eastAsia="zh-CN"/>
        </w:rPr>
        <w:t>司库管理系统</w:t>
      </w:r>
      <w:r>
        <w:rPr>
          <w:rFonts w:hint="eastAsia" w:ascii="宋体" w:hAnsi="宋体" w:eastAsia="宋体" w:cs="宋体"/>
          <w:szCs w:val="21"/>
        </w:rPr>
        <w:t>数据）进行报表输出并上报；</w:t>
      </w:r>
    </w:p>
    <w:p w14:paraId="04D6ACD6">
      <w:pPr>
        <w:spacing w:after="0"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四、非功能性需求</w:t>
      </w:r>
      <w:bookmarkEnd w:id="38"/>
    </w:p>
    <w:p w14:paraId="3F9B529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1</w:t>
      </w:r>
      <w:r>
        <w:rPr>
          <w:rFonts w:hint="eastAsia" w:ascii="宋体" w:hAnsi="宋体" w:cs="宋体"/>
          <w:szCs w:val="21"/>
          <w:lang w:val="en-US" w:eastAsia="zh-CN"/>
        </w:rPr>
        <w:t xml:space="preserve"> </w:t>
      </w:r>
      <w:r>
        <w:rPr>
          <w:rFonts w:hint="eastAsia" w:ascii="宋体" w:hAnsi="宋体" w:eastAsia="宋体" w:cs="宋体"/>
          <w:szCs w:val="21"/>
        </w:rPr>
        <w:t>技术标准</w:t>
      </w:r>
    </w:p>
    <w:p w14:paraId="0D139F37">
      <w:pPr>
        <w:spacing w:after="0"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基于B/S三层体系结构，采用国家或软件行业已有标准，遵循开发标准规范，强调技术的实用性、安全性、可靠性、先进性，从标准和技术上保障系统的可扩充性、易维护性、开放性和统一性。</w:t>
      </w:r>
    </w:p>
    <w:p w14:paraId="3791845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4.2 </w:t>
      </w:r>
      <w:r>
        <w:rPr>
          <w:rFonts w:hint="eastAsia" w:ascii="宋体" w:hAnsi="宋体" w:eastAsia="宋体" w:cs="宋体"/>
          <w:szCs w:val="21"/>
        </w:rPr>
        <w:t>安全性</w:t>
      </w:r>
    </w:p>
    <w:p w14:paraId="058F328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4.2.1 </w:t>
      </w:r>
      <w:r>
        <w:rPr>
          <w:rFonts w:hint="eastAsia" w:ascii="宋体" w:hAnsi="宋体" w:eastAsia="宋体" w:cs="宋体"/>
          <w:szCs w:val="21"/>
        </w:rPr>
        <w:t>系统采用B/S结构；</w:t>
      </w:r>
    </w:p>
    <w:p w14:paraId="5E6813E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4.2.2 </w:t>
      </w:r>
      <w:r>
        <w:rPr>
          <w:rFonts w:hint="eastAsia" w:ascii="宋体" w:hAnsi="宋体" w:eastAsia="宋体" w:cs="宋体"/>
          <w:szCs w:val="21"/>
        </w:rPr>
        <w:t>系统应提供7天×24小时的连续运行，平均年故障时间&lt;1天，平均故障修复时间&lt;30分钟；</w:t>
      </w:r>
    </w:p>
    <w:p w14:paraId="2CDDA7FF">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4.2.3 </w:t>
      </w:r>
      <w:r>
        <w:rPr>
          <w:rFonts w:hint="eastAsia" w:ascii="宋体" w:hAnsi="宋体" w:eastAsia="宋体" w:cs="宋体"/>
          <w:szCs w:val="21"/>
        </w:rPr>
        <w:t>系统将采用完善的安全管理，提供安全备份和灾难恢复功能。</w:t>
      </w:r>
    </w:p>
    <w:p w14:paraId="36642EA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4.3 </w:t>
      </w:r>
      <w:r>
        <w:rPr>
          <w:rFonts w:hint="eastAsia" w:ascii="宋体" w:hAnsi="宋体" w:eastAsia="宋体" w:cs="宋体"/>
          <w:szCs w:val="21"/>
        </w:rPr>
        <w:t>稳定性</w:t>
      </w:r>
    </w:p>
    <w:p w14:paraId="65195B2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4.3.1 </w:t>
      </w:r>
      <w:r>
        <w:rPr>
          <w:rFonts w:hint="eastAsia" w:ascii="宋体" w:hAnsi="宋体" w:eastAsia="宋体" w:cs="宋体"/>
          <w:szCs w:val="21"/>
        </w:rPr>
        <w:t>系统要保证 24 小时不间断运行，系统不停顿、不中断，保障系统连续性作业要求；</w:t>
      </w:r>
    </w:p>
    <w:p w14:paraId="2B6B726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4.3.2 </w:t>
      </w:r>
      <w:r>
        <w:rPr>
          <w:rFonts w:hint="eastAsia" w:ascii="宋体" w:hAnsi="宋体" w:eastAsia="宋体" w:cs="宋体"/>
          <w:szCs w:val="21"/>
        </w:rPr>
        <w:t>成熟稳定的数据库技术，可靠高效的远程应用技术；</w:t>
      </w:r>
    </w:p>
    <w:p w14:paraId="12E6843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4.3.3 </w:t>
      </w:r>
      <w:r>
        <w:rPr>
          <w:rFonts w:hint="eastAsia" w:ascii="宋体" w:hAnsi="宋体" w:eastAsia="宋体" w:cs="宋体"/>
          <w:szCs w:val="21"/>
        </w:rPr>
        <w:t>系统能够在网络环境下高效地运行，系统运行速度满足单位日常操作要求，软件访问速度快捷。</w:t>
      </w:r>
    </w:p>
    <w:p w14:paraId="1B97270F">
      <w:pPr>
        <w:spacing w:after="0" w:line="360" w:lineRule="auto"/>
        <w:ind w:firstLine="420" w:firstLineChars="200"/>
        <w:rPr>
          <w:rFonts w:hint="eastAsia" w:ascii="宋体" w:hAnsi="宋体" w:eastAsia="宋体" w:cs="宋体"/>
          <w:szCs w:val="21"/>
        </w:rPr>
      </w:pPr>
      <w:bookmarkStart w:id="39" w:name="OLE_LINK5"/>
      <w:r>
        <w:rPr>
          <w:rFonts w:hint="eastAsia" w:ascii="宋体" w:hAnsi="宋体" w:cs="宋体"/>
          <w:szCs w:val="21"/>
          <w:lang w:val="en-US" w:eastAsia="zh-CN"/>
        </w:rPr>
        <w:t>4.4</w:t>
      </w:r>
      <w:r>
        <w:rPr>
          <w:rFonts w:hint="eastAsia" w:ascii="宋体" w:hAnsi="宋体" w:eastAsia="宋体" w:cs="宋体"/>
          <w:szCs w:val="21"/>
        </w:rPr>
        <w:t>可维护性</w:t>
      </w:r>
    </w:p>
    <w:p w14:paraId="0772064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4.4.1 </w:t>
      </w:r>
      <w:r>
        <w:rPr>
          <w:rFonts w:hint="eastAsia" w:ascii="宋体" w:hAnsi="宋体" w:eastAsia="宋体" w:cs="宋体"/>
          <w:szCs w:val="21"/>
        </w:rPr>
        <w:t>可方便地</w:t>
      </w:r>
      <w:bookmarkEnd w:id="39"/>
      <w:r>
        <w:rPr>
          <w:rFonts w:hint="eastAsia" w:ascii="宋体" w:hAnsi="宋体" w:eastAsia="宋体" w:cs="宋体"/>
          <w:szCs w:val="21"/>
        </w:rPr>
        <w:t>对数据库备份、应用系统备份和灾难事件处理等进行维护；</w:t>
      </w:r>
    </w:p>
    <w:p w14:paraId="759EF1F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4.4.2 </w:t>
      </w:r>
      <w:r>
        <w:rPr>
          <w:rFonts w:hint="eastAsia" w:ascii="宋体" w:hAnsi="宋体" w:eastAsia="宋体" w:cs="宋体"/>
          <w:szCs w:val="21"/>
        </w:rPr>
        <w:t>系统建设保证提供详尽、周到的用户培训和长期的后续技术支持和维护，保证系统长期正常、稳定运行。利用先进、完善的开发工具，提高开发效率和质量，保证系统的再开发能力。</w:t>
      </w:r>
    </w:p>
    <w:p w14:paraId="7361016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5</w:t>
      </w:r>
      <w:r>
        <w:rPr>
          <w:rFonts w:hint="eastAsia" w:ascii="宋体" w:hAnsi="宋体" w:cs="宋体"/>
          <w:szCs w:val="21"/>
          <w:lang w:val="en-US" w:eastAsia="zh-CN"/>
        </w:rPr>
        <w:t xml:space="preserve"> </w:t>
      </w:r>
      <w:r>
        <w:rPr>
          <w:rFonts w:hint="eastAsia" w:ascii="宋体" w:hAnsi="宋体" w:eastAsia="宋体" w:cs="宋体"/>
          <w:szCs w:val="21"/>
        </w:rPr>
        <w:t>可扩展性</w:t>
      </w:r>
    </w:p>
    <w:p w14:paraId="0C11F16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4.5.1 </w:t>
      </w:r>
      <w:r>
        <w:rPr>
          <w:rFonts w:hint="eastAsia" w:ascii="宋体" w:hAnsi="宋体" w:eastAsia="宋体" w:cs="宋体"/>
          <w:szCs w:val="21"/>
        </w:rPr>
        <w:t>系统除能够提供高效、安全、稳定地运行环境外，还必须有一定的先进性和前瞻性，保证满足目前和长远的应用需求。</w:t>
      </w:r>
    </w:p>
    <w:p w14:paraId="2B3E122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4.5.2 </w:t>
      </w:r>
      <w:r>
        <w:rPr>
          <w:rFonts w:hint="eastAsia" w:ascii="宋体" w:hAnsi="宋体" w:eastAsia="宋体" w:cs="宋体"/>
          <w:szCs w:val="21"/>
        </w:rPr>
        <w:t>系统应充分满足当前用户的工作需求，并考虑今后业务的扩展及数据量增大后的各种应用，实现系统功能的高效运转。</w:t>
      </w:r>
    </w:p>
    <w:p w14:paraId="5855360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4.5.3 </w:t>
      </w:r>
      <w:r>
        <w:rPr>
          <w:rFonts w:hint="eastAsia" w:ascii="宋体" w:hAnsi="宋体" w:eastAsia="宋体" w:cs="宋体"/>
          <w:szCs w:val="21"/>
        </w:rPr>
        <w:t>软件版本易于扩展或升级，保证现有系统可以方便地增加新的功能模块或平滑过渡到升级后的新系统中，任何一个模块的维护和更新以及新模块的追加都不应影响其他模块原有功能，不影响原有模块的性能与运行。最大限度地利用和保护现有投资，使之产生最大的应用效益。</w:t>
      </w:r>
    </w:p>
    <w:p w14:paraId="752B302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4.6 </w:t>
      </w:r>
      <w:r>
        <w:rPr>
          <w:rFonts w:hint="eastAsia" w:ascii="宋体" w:hAnsi="宋体" w:eastAsia="宋体" w:cs="宋体"/>
          <w:szCs w:val="21"/>
          <w:lang w:val="en-US" w:eastAsia="zh-CN"/>
        </w:rPr>
        <w:t>信创部署要求</w:t>
      </w:r>
    </w:p>
    <w:p w14:paraId="56A04748">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4.6.1 </w:t>
      </w:r>
      <w:r>
        <w:rPr>
          <w:rFonts w:hint="eastAsia" w:ascii="宋体" w:hAnsi="宋体" w:eastAsia="宋体" w:cs="宋体"/>
          <w:szCs w:val="21"/>
        </w:rPr>
        <w:t>系统的操作系统、数据库、、硬件服务器需支持国产化适配，并通过信创测评认证。</w:t>
      </w:r>
    </w:p>
    <w:p w14:paraId="6163B7C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4.6.2 </w:t>
      </w:r>
      <w:r>
        <w:rPr>
          <w:rFonts w:hint="eastAsia" w:ascii="宋体" w:hAnsi="宋体" w:eastAsia="宋体" w:cs="宋体"/>
          <w:szCs w:val="21"/>
        </w:rPr>
        <w:t>投标产品应当适配信创生态，并提供适配证明文件：</w:t>
      </w:r>
    </w:p>
    <w:p w14:paraId="5C010ED3">
      <w:pPr>
        <w:spacing w:after="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芯片：至少适配2家国产厂商产品，并且必须至少包含1种不同架构</w:t>
      </w:r>
      <w:r>
        <w:rPr>
          <w:rFonts w:hint="eastAsia" w:ascii="宋体" w:hAnsi="宋体" w:eastAsia="宋体" w:cs="宋体"/>
          <w:szCs w:val="21"/>
          <w:lang w:eastAsia="zh-CN"/>
        </w:rPr>
        <w:t>；</w:t>
      </w:r>
    </w:p>
    <w:p w14:paraId="33ED0156">
      <w:pPr>
        <w:spacing w:after="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操作系统：至少适配2家国产厂商产品</w:t>
      </w:r>
      <w:r>
        <w:rPr>
          <w:rFonts w:hint="eastAsia" w:ascii="宋体" w:hAnsi="宋体" w:eastAsia="宋体" w:cs="宋体"/>
          <w:szCs w:val="21"/>
          <w:lang w:eastAsia="zh-CN"/>
        </w:rPr>
        <w:t>；</w:t>
      </w:r>
    </w:p>
    <w:p w14:paraId="75B4A34F">
      <w:pPr>
        <w:spacing w:after="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数据库：至少适配3家国产厂商产品</w:t>
      </w:r>
      <w:r>
        <w:rPr>
          <w:rFonts w:hint="eastAsia" w:ascii="宋体" w:hAnsi="宋体" w:eastAsia="宋体" w:cs="宋体"/>
          <w:szCs w:val="21"/>
          <w:lang w:eastAsia="zh-CN"/>
        </w:rPr>
        <w:t>；</w:t>
      </w:r>
    </w:p>
    <w:p w14:paraId="3681DBE2">
      <w:pPr>
        <w:spacing w:after="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浏览器：至少适配2家国产厂商产品</w:t>
      </w:r>
      <w:r>
        <w:rPr>
          <w:rFonts w:hint="eastAsia" w:ascii="宋体" w:hAnsi="宋体" w:eastAsia="宋体" w:cs="宋体"/>
          <w:szCs w:val="21"/>
          <w:lang w:eastAsia="zh-CN"/>
        </w:rPr>
        <w:t>。</w:t>
      </w:r>
    </w:p>
    <w:p w14:paraId="37CB21F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提供全栈信创最佳实践组合方案（具体到版本型号），并提供相应案例说明。</w:t>
      </w:r>
    </w:p>
    <w:p w14:paraId="4FE792D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全栈信创是指在信息技术应用创新（信创）领域中，涵盖从基础硬件、基础软件到应用软件和信息安全等各个方面的全方位技术支持和解决方案。信创的目标是通过自主研发和推广自主化、国产化的技术标准，实现信息技术领域的自主可控，保障国家信息安全</w:t>
      </w:r>
      <w:r>
        <w:rPr>
          <w:rFonts w:hint="eastAsia" w:ascii="宋体" w:hAnsi="宋体" w:eastAsia="宋体" w:cs="宋体"/>
          <w:szCs w:val="21"/>
          <w:lang w:eastAsia="zh-CN"/>
        </w:rPr>
        <w:t>）</w:t>
      </w:r>
    </w:p>
    <w:p w14:paraId="5F012F9B">
      <w:pPr>
        <w:spacing w:after="0" w:line="360" w:lineRule="auto"/>
        <w:ind w:firstLine="422" w:firstLineChars="200"/>
        <w:rPr>
          <w:rFonts w:hint="eastAsia" w:ascii="宋体" w:hAnsi="宋体" w:cs="宋体"/>
          <w:b/>
          <w:bCs/>
          <w:szCs w:val="21"/>
          <w:lang w:val="en-US" w:eastAsia="zh-CN"/>
        </w:rPr>
      </w:pPr>
      <w:bookmarkStart w:id="40" w:name="_Toc16527"/>
      <w:r>
        <w:rPr>
          <w:rFonts w:hint="eastAsia" w:ascii="宋体" w:hAnsi="宋体" w:cs="宋体"/>
          <w:b/>
          <w:bCs/>
          <w:szCs w:val="21"/>
          <w:lang w:val="en-US" w:eastAsia="zh-CN"/>
        </w:rPr>
        <w:t>五、项目实施要求</w:t>
      </w:r>
      <w:bookmarkEnd w:id="40"/>
    </w:p>
    <w:p w14:paraId="46FFD82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 </w:t>
      </w:r>
      <w:r>
        <w:rPr>
          <w:rFonts w:hint="eastAsia" w:ascii="宋体" w:hAnsi="宋体" w:eastAsia="宋体" w:cs="宋体"/>
          <w:szCs w:val="21"/>
        </w:rPr>
        <w:t>实施组织要求</w:t>
      </w:r>
    </w:p>
    <w:p w14:paraId="5635D59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1.1</w:t>
      </w:r>
      <w:r>
        <w:rPr>
          <w:rFonts w:hint="eastAsia" w:ascii="宋体" w:hAnsi="宋体" w:cs="宋体"/>
          <w:szCs w:val="21"/>
          <w:lang w:val="en-US" w:eastAsia="zh-CN"/>
        </w:rPr>
        <w:t xml:space="preserve"> </w:t>
      </w:r>
      <w:r>
        <w:rPr>
          <w:rFonts w:hint="eastAsia" w:ascii="宋体" w:hAnsi="宋体" w:eastAsia="宋体" w:cs="宋体"/>
          <w:szCs w:val="21"/>
        </w:rPr>
        <w:t>实施规划要求</w:t>
      </w:r>
    </w:p>
    <w:p w14:paraId="0F13D061">
      <w:pPr>
        <w:spacing w:after="0" w:line="360" w:lineRule="auto"/>
        <w:ind w:firstLine="420" w:firstLineChars="200"/>
        <w:rPr>
          <w:rFonts w:hint="eastAsia" w:ascii="宋体" w:hAnsi="宋体" w:eastAsia="宋体" w:cs="宋体"/>
          <w:szCs w:val="21"/>
        </w:rPr>
      </w:pPr>
      <w:r>
        <w:rPr>
          <w:rFonts w:hint="eastAsia" w:ascii="宋体" w:hAnsi="宋体" w:cs="宋体"/>
          <w:szCs w:val="21"/>
          <w:lang w:eastAsia="zh-CN"/>
        </w:rPr>
        <w:t>投标人</w:t>
      </w:r>
      <w:r>
        <w:rPr>
          <w:rFonts w:hint="eastAsia" w:ascii="宋体" w:hAnsi="宋体" w:eastAsia="宋体" w:cs="宋体"/>
          <w:szCs w:val="21"/>
        </w:rPr>
        <w:t>的实施规划中应包括完善的分步实施和部署方案、风险分析和规避措施，实施步骤说明等内容；</w:t>
      </w:r>
    </w:p>
    <w:p w14:paraId="7E724D8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采购人有对项目进度和质量进行监督控制的职责和权利，成交</w:t>
      </w:r>
      <w:r>
        <w:rPr>
          <w:rFonts w:hint="eastAsia" w:ascii="宋体" w:hAnsi="宋体" w:cs="宋体"/>
          <w:szCs w:val="21"/>
          <w:lang w:eastAsia="zh-CN"/>
        </w:rPr>
        <w:t>投标人</w:t>
      </w:r>
      <w:r>
        <w:rPr>
          <w:rFonts w:hint="eastAsia" w:ascii="宋体" w:hAnsi="宋体" w:eastAsia="宋体" w:cs="宋体"/>
          <w:szCs w:val="21"/>
        </w:rPr>
        <w:t>应保证在项目实施全过程中全面配合采购人，确保人力、物力的定量投入，定期向采购人提交最新的进展情况报告。</w:t>
      </w:r>
    </w:p>
    <w:p w14:paraId="4F37B84F">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1.2</w:t>
      </w:r>
      <w:r>
        <w:rPr>
          <w:rFonts w:hint="eastAsia" w:ascii="宋体" w:hAnsi="宋体" w:cs="宋体"/>
          <w:szCs w:val="21"/>
          <w:lang w:val="en-US" w:eastAsia="zh-CN"/>
        </w:rPr>
        <w:t xml:space="preserve"> </w:t>
      </w:r>
      <w:r>
        <w:rPr>
          <w:rFonts w:hint="eastAsia" w:ascii="宋体" w:hAnsi="宋体" w:eastAsia="宋体" w:cs="宋体"/>
          <w:szCs w:val="21"/>
        </w:rPr>
        <w:t>实施进度要求</w:t>
      </w:r>
    </w:p>
    <w:p w14:paraId="19AC304A">
      <w:pPr>
        <w:spacing w:after="0" w:line="360" w:lineRule="auto"/>
        <w:ind w:firstLine="422" w:firstLineChars="200"/>
        <w:rPr>
          <w:rFonts w:hint="eastAsia" w:ascii="宋体" w:hAnsi="宋体" w:eastAsia="宋体" w:cs="宋体"/>
          <w:b/>
          <w:bCs/>
          <w:szCs w:val="21"/>
          <w:highlight w:val="none"/>
          <w:lang w:val="zh-CN" w:eastAsia="zh-CN"/>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服务期：合同签订后至</w:t>
      </w:r>
      <w:r>
        <w:rPr>
          <w:rFonts w:hint="eastAsia" w:ascii="宋体" w:hAnsi="宋体" w:eastAsia="宋体" w:cs="宋体"/>
          <w:b/>
          <w:bCs/>
          <w:szCs w:val="21"/>
          <w:highlight w:val="none"/>
          <w:lang w:val="zh-CN" w:eastAsia="zh-CN"/>
        </w:rPr>
        <w:t>2027年12月31日（</w:t>
      </w:r>
      <w:r>
        <w:rPr>
          <w:rFonts w:hint="eastAsia" w:ascii="宋体" w:hAnsi="宋体" w:eastAsia="宋体" w:cs="宋体"/>
          <w:b/>
          <w:bCs/>
          <w:szCs w:val="21"/>
          <w:highlight w:val="none"/>
          <w:lang w:val="en-US" w:eastAsia="zh-CN"/>
        </w:rPr>
        <w:t>其中</w:t>
      </w:r>
      <w:r>
        <w:rPr>
          <w:rFonts w:hint="eastAsia" w:ascii="宋体" w:hAnsi="宋体" w:eastAsia="宋体" w:cs="宋体"/>
          <w:b/>
          <w:bCs/>
          <w:szCs w:val="21"/>
          <w:highlight w:val="none"/>
          <w:lang w:val="zh-CN" w:eastAsia="zh-CN"/>
        </w:rPr>
        <w:t>本项目需在2025年11月30日前完成系统全面切换上线，于202</w:t>
      </w:r>
      <w:r>
        <w:rPr>
          <w:rFonts w:hint="eastAsia" w:ascii="宋体" w:hAnsi="宋体" w:cs="宋体"/>
          <w:b/>
          <w:bCs/>
          <w:szCs w:val="21"/>
          <w:highlight w:val="none"/>
          <w:lang w:val="en-US" w:eastAsia="zh-CN"/>
        </w:rPr>
        <w:t>6</w:t>
      </w:r>
      <w:r>
        <w:rPr>
          <w:rFonts w:hint="eastAsia" w:ascii="宋体" w:hAnsi="宋体" w:eastAsia="宋体" w:cs="宋体"/>
          <w:b/>
          <w:bCs/>
          <w:szCs w:val="21"/>
          <w:highlight w:val="none"/>
          <w:lang w:val="zh-CN" w:eastAsia="zh-CN"/>
        </w:rPr>
        <w:t>年12月31日前完成项目整体验收）；</w:t>
      </w:r>
    </w:p>
    <w:p w14:paraId="540F504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实施规划需包括完善的分步实施和部署方案、风险分析和规避措施，实施步骤说明等内容。</w:t>
      </w:r>
    </w:p>
    <w:p w14:paraId="405A4EE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5.1.3 </w:t>
      </w:r>
      <w:r>
        <w:rPr>
          <w:rFonts w:hint="eastAsia" w:ascii="宋体" w:hAnsi="宋体" w:eastAsia="宋体" w:cs="宋体"/>
          <w:szCs w:val="21"/>
        </w:rPr>
        <w:t>项目组织要求</w:t>
      </w:r>
    </w:p>
    <w:p w14:paraId="7A7B1FD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方需要为项目配备专属团队人员，项目人员包括但不限于1名项目经理、不少于1名实施工程师、不少于1名开发工程师、不少于1名服务工程师等。其中项目经理要求五年以上类似项目经验。其他项目组成员要求二年以上类似项目经验。项目团队一经确认，不允许随意更换项目组成员。若有特殊原因需要提前两周与</w:t>
      </w:r>
      <w:r>
        <w:rPr>
          <w:rFonts w:hint="eastAsia" w:ascii="宋体" w:hAnsi="宋体" w:cs="宋体"/>
          <w:szCs w:val="21"/>
          <w:lang w:eastAsia="zh-CN"/>
        </w:rPr>
        <w:t>招标人</w:t>
      </w:r>
      <w:r>
        <w:rPr>
          <w:rFonts w:hint="eastAsia" w:ascii="宋体" w:hAnsi="宋体" w:eastAsia="宋体" w:cs="宋体"/>
          <w:szCs w:val="21"/>
        </w:rPr>
        <w:t>项目经理协商同意后方可更换。</w:t>
      </w:r>
    </w:p>
    <w:p w14:paraId="36653AD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为保证项目实施质量，投标方在项目实施全过程中，需要严格按照软件工程规范进行管理。各阶段应提交相应文档，并经采购人认可后方可进行下阶段工作。</w:t>
      </w:r>
    </w:p>
    <w:p w14:paraId="07E69FB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5.1.4</w:t>
      </w:r>
      <w:r>
        <w:rPr>
          <w:rFonts w:hint="eastAsia" w:ascii="宋体" w:hAnsi="宋体" w:eastAsia="宋体" w:cs="宋体"/>
          <w:szCs w:val="21"/>
        </w:rPr>
        <w:t>项目培训要求</w:t>
      </w:r>
    </w:p>
    <w:p w14:paraId="3366CEF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投标人需向招标人提供相应的培训工作以及后期的培训支持。培训要分小班化，分级别、分岗位，有针对性培训。</w:t>
      </w:r>
    </w:p>
    <w:p w14:paraId="2B0C5B7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投标人应提出具体的、与培训配套的其它知识转移计划，以保障在项目后期实施以及项目结束之后，二轻集团能够拥有一支自己的熟悉信息化项目实施、维护和支持的专业队伍。</w:t>
      </w:r>
    </w:p>
    <w:p w14:paraId="7B8E6F6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 </w:t>
      </w:r>
      <w:r>
        <w:rPr>
          <w:rFonts w:hint="eastAsia" w:ascii="宋体" w:hAnsi="宋体" w:eastAsia="宋体" w:cs="宋体"/>
          <w:szCs w:val="21"/>
        </w:rPr>
        <w:t>项目验收要求</w:t>
      </w:r>
      <w:r>
        <w:rPr>
          <w:rFonts w:hint="eastAsia" w:ascii="宋体" w:hAnsi="宋体" w:eastAsia="宋体" w:cs="宋体"/>
          <w:szCs w:val="21"/>
        </w:rPr>
        <w:tab/>
      </w:r>
    </w:p>
    <w:p w14:paraId="6361D5D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成交</w:t>
      </w:r>
      <w:r>
        <w:rPr>
          <w:rFonts w:hint="eastAsia" w:ascii="宋体" w:hAnsi="宋体" w:cs="宋体"/>
          <w:szCs w:val="21"/>
          <w:lang w:eastAsia="zh-CN"/>
        </w:rPr>
        <w:t>投标人</w:t>
      </w:r>
      <w:r>
        <w:rPr>
          <w:rFonts w:hint="eastAsia" w:ascii="宋体" w:hAnsi="宋体" w:eastAsia="宋体" w:cs="宋体"/>
          <w:szCs w:val="21"/>
        </w:rPr>
        <w:t>应提供完整的系统安装、配置、设计、开发、测试、验收、使用、维护所需的所有文档资料，</w:t>
      </w:r>
      <w:r>
        <w:rPr>
          <w:rFonts w:hint="eastAsia" w:ascii="宋体" w:hAnsi="宋体" w:cs="宋体"/>
          <w:szCs w:val="21"/>
          <w:lang w:eastAsia="zh-CN"/>
        </w:rPr>
        <w:t>投标人</w:t>
      </w:r>
      <w:r>
        <w:rPr>
          <w:rFonts w:hint="eastAsia" w:ascii="宋体" w:hAnsi="宋体" w:eastAsia="宋体" w:cs="宋体"/>
          <w:szCs w:val="21"/>
        </w:rPr>
        <w:t>应在响应文件中详细说明项目实施各阶段提供的文档资料清单。文档资料至少应包括：</w:t>
      </w:r>
    </w:p>
    <w:p w14:paraId="2E36424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5.1.5.1 </w:t>
      </w:r>
      <w:r>
        <w:rPr>
          <w:rFonts w:hint="eastAsia" w:ascii="宋体" w:hAnsi="宋体" w:eastAsia="宋体" w:cs="宋体"/>
          <w:szCs w:val="21"/>
        </w:rPr>
        <w:t>系统安装、配置文档；</w:t>
      </w:r>
    </w:p>
    <w:p w14:paraId="7DAB232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5.1.5.2 </w:t>
      </w:r>
      <w:r>
        <w:rPr>
          <w:rFonts w:hint="eastAsia" w:ascii="宋体" w:hAnsi="宋体" w:eastAsia="宋体" w:cs="宋体"/>
          <w:szCs w:val="21"/>
        </w:rPr>
        <w:t>设计、开发文档；</w:t>
      </w:r>
    </w:p>
    <w:p w14:paraId="2E6FE40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5.1.5.3 </w:t>
      </w:r>
      <w:r>
        <w:rPr>
          <w:rFonts w:hint="eastAsia" w:ascii="宋体" w:hAnsi="宋体" w:eastAsia="宋体" w:cs="宋体"/>
          <w:szCs w:val="21"/>
        </w:rPr>
        <w:t>测试、验收文档；</w:t>
      </w:r>
    </w:p>
    <w:p w14:paraId="47D63BE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5.1.5.4 </w:t>
      </w:r>
      <w:r>
        <w:rPr>
          <w:rFonts w:hint="eastAsia" w:ascii="宋体" w:hAnsi="宋体" w:eastAsia="宋体" w:cs="宋体"/>
          <w:szCs w:val="21"/>
        </w:rPr>
        <w:t>用户操作、使用手册；</w:t>
      </w:r>
    </w:p>
    <w:p w14:paraId="729B5057">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5.1.5.5 </w:t>
      </w:r>
      <w:r>
        <w:rPr>
          <w:rFonts w:hint="eastAsia" w:ascii="宋体" w:hAnsi="宋体" w:eastAsia="宋体" w:cs="宋体"/>
          <w:szCs w:val="21"/>
        </w:rPr>
        <w:t>系统维护文档；</w:t>
      </w:r>
    </w:p>
    <w:p w14:paraId="625434F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5.1.5.6 </w:t>
      </w:r>
      <w:r>
        <w:rPr>
          <w:rFonts w:hint="eastAsia" w:ascii="宋体" w:hAnsi="宋体" w:eastAsia="宋体" w:cs="宋体"/>
          <w:szCs w:val="21"/>
        </w:rPr>
        <w:t>培训资料。</w:t>
      </w:r>
    </w:p>
    <w:p w14:paraId="7078EE3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所有技术文档除了装订成册外，同时还要提供电子文档。资料移交情况将作为软件最终验收通过的重要条件之一。</w:t>
      </w:r>
    </w:p>
    <w:p w14:paraId="72541D95">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5.1.6 </w:t>
      </w:r>
      <w:r>
        <w:rPr>
          <w:rFonts w:hint="eastAsia" w:ascii="宋体" w:hAnsi="宋体" w:eastAsia="宋体" w:cs="宋体"/>
          <w:szCs w:val="21"/>
        </w:rPr>
        <w:t>售后服务要求</w:t>
      </w:r>
    </w:p>
    <w:p w14:paraId="4DBF459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5.1.6.1 </w:t>
      </w:r>
      <w:r>
        <w:rPr>
          <w:rFonts w:hint="eastAsia" w:ascii="宋体" w:hAnsi="宋体" w:eastAsia="宋体" w:cs="宋体"/>
          <w:szCs w:val="21"/>
        </w:rPr>
        <w:t>中标人需要提供自本项目验收合格之日起不少于</w:t>
      </w:r>
      <w:r>
        <w:rPr>
          <w:rFonts w:hint="eastAsia" w:ascii="宋体" w:hAnsi="宋体" w:eastAsia="宋体" w:cs="宋体"/>
          <w:szCs w:val="21"/>
          <w:lang w:val="en-US" w:eastAsia="zh-CN"/>
        </w:rPr>
        <w:t>二</w:t>
      </w:r>
      <w:r>
        <w:rPr>
          <w:rFonts w:hint="eastAsia" w:ascii="宋体" w:hAnsi="宋体" w:eastAsia="宋体" w:cs="宋体"/>
          <w:szCs w:val="21"/>
        </w:rPr>
        <w:t>年免费运维服务。</w:t>
      </w:r>
    </w:p>
    <w:p w14:paraId="0580B23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5.1.6.2 </w:t>
      </w:r>
      <w:r>
        <w:rPr>
          <w:rFonts w:hint="eastAsia" w:ascii="宋体" w:hAnsi="宋体" w:eastAsia="宋体" w:cs="宋体"/>
          <w:szCs w:val="21"/>
        </w:rPr>
        <w:t>投标人需提供系统安装实施后的应用软件的维护方案，包括如下内容：</w:t>
      </w:r>
    </w:p>
    <w:p w14:paraId="6422BFC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5.1.6.2.1 </w:t>
      </w:r>
      <w:r>
        <w:rPr>
          <w:rFonts w:hint="eastAsia" w:ascii="宋体" w:hAnsi="宋体" w:eastAsia="宋体" w:cs="宋体"/>
          <w:szCs w:val="21"/>
        </w:rPr>
        <w:tab/>
      </w:r>
      <w:r>
        <w:rPr>
          <w:rFonts w:hint="eastAsia" w:ascii="宋体" w:hAnsi="宋体" w:eastAsia="宋体" w:cs="宋体"/>
          <w:szCs w:val="21"/>
        </w:rPr>
        <w:t>维护支持内容和支持方式，响应时间；</w:t>
      </w:r>
    </w:p>
    <w:p w14:paraId="43089995">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5.1.6.2.2 支持维护工作纪录及定期监测；</w:t>
      </w:r>
    </w:p>
    <w:p w14:paraId="2A244C52">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5.1.6.2.3 支持维护人员及职责；</w:t>
      </w:r>
    </w:p>
    <w:p w14:paraId="1DACB615">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5.1.6.3 采购方需要的系统维护方案，包括数据库的备份，操作系统维护等。</w:t>
      </w:r>
    </w:p>
    <w:p w14:paraId="72B9335E">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5.1.6.4 提供应急预案，包括应用软件出现故障时应急方案与数据环境出现故障时的应急方案。</w:t>
      </w:r>
    </w:p>
    <w:p w14:paraId="41A6102E">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六、其他要求</w:t>
      </w:r>
    </w:p>
    <w:p w14:paraId="0AC410CF">
      <w:pPr>
        <w:spacing w:after="0"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 xml:space="preserve">6.1 </w:t>
      </w:r>
      <w:r>
        <w:rPr>
          <w:rFonts w:hint="eastAsia" w:ascii="宋体" w:hAnsi="宋体" w:eastAsia="宋体" w:cs="宋体"/>
          <w:szCs w:val="21"/>
          <w:lang w:val="en-US" w:eastAsia="zh-CN"/>
        </w:rPr>
        <w:t>产品要求本地化分级部署，根据保密要求分别在二轻集团公司以及下属企业国瑞科技部署二套产品；</w:t>
      </w:r>
    </w:p>
    <w:p w14:paraId="5B731ABC">
      <w:pPr>
        <w:spacing w:after="0"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 xml:space="preserve">6.2 </w:t>
      </w:r>
      <w:r>
        <w:rPr>
          <w:rFonts w:hint="eastAsia" w:ascii="宋体" w:hAnsi="宋体" w:eastAsia="宋体" w:cs="宋体"/>
          <w:szCs w:val="21"/>
          <w:lang w:val="en-US" w:eastAsia="zh-CN"/>
        </w:rPr>
        <w:t>报价要求：私有云订阅产品（系统产品部署在二轻集团以及国瑞科技的自有的服务器上，产品租赁费按年支付）使用期至2027年12月31日；端产品（系统产品部署在二轻集团以及国瑞科技的自有服务器上，产品一次性买断）免费运维期至2027年12月31日。</w:t>
      </w:r>
    </w:p>
    <w:p w14:paraId="1D28D89D">
      <w:pPr>
        <w:spacing w:after="0"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 xml:space="preserve">6.3 </w:t>
      </w:r>
      <w:r>
        <w:rPr>
          <w:rFonts w:hint="eastAsia" w:ascii="宋体" w:hAnsi="宋体" w:eastAsia="宋体" w:cs="宋体"/>
          <w:szCs w:val="21"/>
        </w:rPr>
        <w:t>软件版本要求：要求投标产品为软件厂家的最</w:t>
      </w:r>
      <w:r>
        <w:rPr>
          <w:rFonts w:hint="eastAsia" w:ascii="宋体" w:hAnsi="宋体" w:eastAsia="宋体" w:cs="宋体"/>
          <w:szCs w:val="21"/>
          <w:lang w:val="en-US" w:eastAsia="zh-CN"/>
        </w:rPr>
        <w:t>新版本</w:t>
      </w:r>
      <w:r>
        <w:rPr>
          <w:rFonts w:hint="eastAsia" w:ascii="宋体" w:hAnsi="宋体" w:eastAsia="宋体" w:cs="宋体"/>
          <w:szCs w:val="21"/>
        </w:rPr>
        <w:t>产品，投标时提供书面承诺函。</w:t>
      </w:r>
    </w:p>
    <w:p w14:paraId="136D7493">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招标文件中所有带▲的内容是招标人提出的实质性条款，投标文件响应内容若出现负偏差，该投标文件将被评标委员会认定为无效。</w:t>
      </w:r>
    </w:p>
    <w:p w14:paraId="17103698">
      <w:pPr>
        <w:widowControl/>
        <w:spacing w:line="360" w:lineRule="auto"/>
        <w:ind w:firstLine="420" w:firstLineChars="200"/>
        <w:jc w:val="left"/>
        <w:rPr>
          <w:rFonts w:hint="eastAsia" w:ascii="宋体" w:hAnsi="宋体" w:cs="宋体"/>
          <w:szCs w:val="21"/>
        </w:rPr>
      </w:pPr>
    </w:p>
    <w:p w14:paraId="632577A8">
      <w:pPr>
        <w:widowControl/>
        <w:spacing w:line="360" w:lineRule="auto"/>
        <w:ind w:firstLine="420" w:firstLineChars="200"/>
        <w:jc w:val="left"/>
        <w:rPr>
          <w:rFonts w:hint="eastAsia" w:ascii="宋体" w:hAnsi="宋体" w:cs="宋体"/>
          <w:szCs w:val="21"/>
        </w:rPr>
      </w:pPr>
    </w:p>
    <w:p w14:paraId="28673A56">
      <w:pPr>
        <w:widowControl/>
        <w:spacing w:line="360" w:lineRule="auto"/>
        <w:ind w:firstLine="420" w:firstLineChars="200"/>
        <w:jc w:val="left"/>
        <w:rPr>
          <w:rFonts w:hint="eastAsia" w:ascii="宋体" w:hAnsi="宋体" w:cs="宋体"/>
          <w:szCs w:val="21"/>
        </w:rPr>
      </w:pPr>
      <w:r>
        <w:rPr>
          <w:rFonts w:hint="eastAsia" w:ascii="宋体" w:hAnsi="宋体" w:cs="宋体"/>
          <w:szCs w:val="21"/>
        </w:rPr>
        <w:br w:type="page"/>
      </w:r>
    </w:p>
    <w:p w14:paraId="1E9BD0EC">
      <w:pPr>
        <w:pStyle w:val="3"/>
        <w:numPr>
          <w:ilvl w:val="0"/>
          <w:numId w:val="2"/>
        </w:numPr>
        <w:rPr>
          <w:rFonts w:hint="eastAsia" w:ascii="宋体" w:hAnsi="宋体" w:cs="宋体"/>
          <w:color w:val="auto"/>
        </w:rPr>
      </w:pPr>
      <w:bookmarkStart w:id="41" w:name="_Toc82873328"/>
      <w:bookmarkStart w:id="42" w:name="_Toc82338245"/>
      <w:bookmarkStart w:id="43" w:name="_Toc211745569"/>
      <w:r>
        <w:rPr>
          <w:rFonts w:hint="eastAsia" w:ascii="宋体" w:hAnsi="宋体" w:cs="宋体"/>
          <w:color w:val="auto"/>
        </w:rPr>
        <w:t xml:space="preserve">  </w:t>
      </w:r>
      <w:r>
        <w:rPr>
          <w:rFonts w:hint="eastAsia" w:ascii="宋体" w:hAnsi="宋体" w:cs="宋体"/>
          <w:color w:val="auto"/>
          <w:lang w:val="en-US" w:eastAsia="zh-CN"/>
        </w:rPr>
        <w:t xml:space="preserve"> </w:t>
      </w:r>
      <w:bookmarkStart w:id="44" w:name="_Toc6346"/>
      <w:r>
        <w:rPr>
          <w:rFonts w:hint="eastAsia" w:ascii="宋体" w:hAnsi="宋体" w:cs="宋体"/>
          <w:color w:val="auto"/>
        </w:rPr>
        <w:t>合同</w:t>
      </w:r>
      <w:bookmarkEnd w:id="41"/>
      <w:bookmarkEnd w:id="42"/>
      <w:bookmarkEnd w:id="43"/>
      <w:r>
        <w:rPr>
          <w:rFonts w:hint="eastAsia" w:ascii="宋体" w:hAnsi="宋体" w:cs="宋体"/>
          <w:color w:val="auto"/>
        </w:rPr>
        <w:t>主要条款</w:t>
      </w:r>
      <w:bookmarkEnd w:id="44"/>
    </w:p>
    <w:p w14:paraId="2BEB0E48">
      <w:bookmarkStart w:id="45" w:name="_Toc82873329"/>
      <w:bookmarkStart w:id="46" w:name="_Toc82338246"/>
      <w:r>
        <w:rPr>
          <w:rFonts w:hint="eastAsia" w:ascii="宋体" w:hAnsi="宋体"/>
          <w:b/>
        </w:rPr>
        <w:t xml:space="preserve">           （双方同意此合同为模版合同，签订时可能根据实际情况调整）</w:t>
      </w:r>
    </w:p>
    <w:p w14:paraId="1A2DBBAD">
      <w:pPr>
        <w:pStyle w:val="133"/>
        <w:spacing w:line="360" w:lineRule="auto"/>
        <w:rPr>
          <w:rFonts w:hint="eastAsia" w:ascii="宋体" w:hAnsi="宋体" w:cs="宋体"/>
          <w:kern w:val="2"/>
          <w:szCs w:val="21"/>
        </w:rPr>
      </w:pPr>
      <w:bookmarkStart w:id="47" w:name="_Toc211745570"/>
      <w:r>
        <w:rPr>
          <w:rFonts w:hint="eastAsia" w:ascii="宋体" w:hAnsi="宋体" w:cs="宋体"/>
          <w:kern w:val="2"/>
          <w:szCs w:val="21"/>
        </w:rPr>
        <w:t>项目名称：浙江省二轻集团司库管理系统建设项目　</w:t>
      </w:r>
    </w:p>
    <w:p w14:paraId="3D538495">
      <w:pPr>
        <w:pStyle w:val="133"/>
        <w:spacing w:line="360" w:lineRule="auto"/>
        <w:rPr>
          <w:rFonts w:hint="eastAsia" w:ascii="宋体" w:hAnsi="宋体" w:cs="宋体"/>
          <w:kern w:val="2"/>
          <w:szCs w:val="21"/>
        </w:rPr>
      </w:pPr>
      <w:r>
        <w:rPr>
          <w:rFonts w:hint="eastAsia" w:ascii="宋体" w:hAnsi="宋体" w:cs="宋体"/>
          <w:kern w:val="2"/>
          <w:szCs w:val="21"/>
        </w:rPr>
        <w:t>委托方（甲方）：浙江省二轻集团有限责任公司</w:t>
      </w:r>
    </w:p>
    <w:p w14:paraId="0A0CBDF5">
      <w:pPr>
        <w:pStyle w:val="133"/>
        <w:spacing w:line="360" w:lineRule="auto"/>
        <w:rPr>
          <w:rFonts w:hint="eastAsia" w:ascii="宋体" w:hAnsi="宋体" w:cs="宋体"/>
          <w:kern w:val="2"/>
          <w:szCs w:val="21"/>
        </w:rPr>
      </w:pPr>
      <w:r>
        <w:rPr>
          <w:rFonts w:hint="eastAsia" w:ascii="宋体" w:hAnsi="宋体" w:cs="宋体"/>
          <w:kern w:val="2"/>
          <w:szCs w:val="21"/>
        </w:rPr>
        <w:t>实施方（乙方）：**有限公司</w:t>
      </w:r>
    </w:p>
    <w:p w14:paraId="7E6E21AB">
      <w:pPr>
        <w:pStyle w:val="133"/>
        <w:spacing w:line="360" w:lineRule="auto"/>
        <w:rPr>
          <w:rFonts w:hint="eastAsia" w:ascii="宋体" w:hAnsi="宋体" w:cs="宋体"/>
          <w:kern w:val="2"/>
          <w:szCs w:val="21"/>
        </w:rPr>
      </w:pPr>
      <w:r>
        <w:rPr>
          <w:rFonts w:hint="eastAsia" w:ascii="宋体" w:hAnsi="宋体" w:cs="宋体"/>
          <w:kern w:val="2"/>
          <w:szCs w:val="21"/>
        </w:rPr>
        <w:t xml:space="preserve">签订时间：    年   月  </w:t>
      </w:r>
    </w:p>
    <w:p w14:paraId="0C98336D">
      <w:pPr>
        <w:pStyle w:val="133"/>
        <w:spacing w:line="360" w:lineRule="auto"/>
        <w:rPr>
          <w:rFonts w:hint="eastAsia" w:ascii="宋体" w:hAnsi="宋体" w:cs="宋体"/>
          <w:kern w:val="2"/>
          <w:szCs w:val="21"/>
        </w:rPr>
      </w:pPr>
      <w:r>
        <w:rPr>
          <w:rFonts w:hint="eastAsia" w:ascii="宋体" w:hAnsi="宋体" w:cs="宋体"/>
          <w:kern w:val="2"/>
          <w:szCs w:val="21"/>
        </w:rPr>
        <w:t xml:space="preserve">签订地点：  杭州市     </w:t>
      </w:r>
    </w:p>
    <w:p w14:paraId="054D765A">
      <w:pPr>
        <w:pStyle w:val="133"/>
        <w:spacing w:line="360" w:lineRule="auto"/>
        <w:rPr>
          <w:rFonts w:hint="eastAsia" w:ascii="宋体" w:hAnsi="宋体" w:cs="宋体"/>
          <w:kern w:val="2"/>
          <w:szCs w:val="21"/>
        </w:rPr>
      </w:pPr>
    </w:p>
    <w:p w14:paraId="407EE5E8">
      <w:pPr>
        <w:pStyle w:val="133"/>
        <w:spacing w:line="360" w:lineRule="auto"/>
        <w:rPr>
          <w:rFonts w:hint="eastAsia" w:ascii="宋体" w:hAnsi="宋体" w:cs="宋体"/>
          <w:kern w:val="2"/>
          <w:szCs w:val="21"/>
        </w:rPr>
      </w:pPr>
      <w:r>
        <w:rPr>
          <w:rFonts w:hint="eastAsia" w:ascii="宋体" w:hAnsi="宋体" w:cs="宋体"/>
          <w:kern w:val="2"/>
          <w:szCs w:val="21"/>
        </w:rPr>
        <w:t>在本合同中，委托方和实施方合称“双方”，单独称“一方”。</w:t>
      </w:r>
    </w:p>
    <w:p w14:paraId="2D7B93C2">
      <w:pPr>
        <w:pStyle w:val="133"/>
        <w:spacing w:line="360" w:lineRule="auto"/>
        <w:rPr>
          <w:rFonts w:hint="eastAsia" w:ascii="宋体" w:hAnsi="宋体" w:cs="宋体"/>
          <w:kern w:val="2"/>
          <w:szCs w:val="21"/>
        </w:rPr>
      </w:pPr>
      <w:r>
        <w:rPr>
          <w:rFonts w:hint="eastAsia" w:ascii="宋体" w:hAnsi="宋体" w:cs="宋体"/>
          <w:kern w:val="2"/>
          <w:szCs w:val="21"/>
        </w:rPr>
        <w:t>鉴于：</w:t>
      </w:r>
    </w:p>
    <w:p w14:paraId="55B92067">
      <w:pPr>
        <w:pStyle w:val="133"/>
        <w:spacing w:line="360" w:lineRule="auto"/>
        <w:rPr>
          <w:rFonts w:hint="eastAsia" w:ascii="宋体" w:hAnsi="宋体" w:cs="宋体"/>
          <w:kern w:val="2"/>
          <w:szCs w:val="21"/>
        </w:rPr>
      </w:pPr>
      <w:r>
        <w:rPr>
          <w:rFonts w:hint="eastAsia" w:ascii="宋体" w:hAnsi="宋体" w:cs="宋体"/>
          <w:kern w:val="2"/>
          <w:szCs w:val="21"/>
        </w:rPr>
        <w:t>甲方计划委托乙方实施开发浙江省二轻集团司库管理系统建设项目等有关的技术服务，并同意支付相应的合同价款。实施方同意按本合同条件向委托方提供所述服务。</w:t>
      </w:r>
    </w:p>
    <w:p w14:paraId="2CE3C644">
      <w:pPr>
        <w:pStyle w:val="133"/>
        <w:spacing w:line="360" w:lineRule="auto"/>
        <w:rPr>
          <w:rFonts w:hint="eastAsia" w:ascii="宋体" w:hAnsi="宋体" w:cs="宋体"/>
          <w:kern w:val="2"/>
          <w:szCs w:val="21"/>
        </w:rPr>
      </w:pPr>
      <w:r>
        <w:rPr>
          <w:rFonts w:hint="eastAsia" w:ascii="宋体" w:hAnsi="宋体" w:cs="宋体"/>
          <w:kern w:val="2"/>
          <w:szCs w:val="21"/>
        </w:rPr>
        <w:t>双方本着平等互利的原则，在友好协商的基础上，达成本合同条款如下：</w:t>
      </w:r>
    </w:p>
    <w:p w14:paraId="68B57D69">
      <w:pPr>
        <w:pStyle w:val="133"/>
        <w:spacing w:line="360" w:lineRule="auto"/>
        <w:rPr>
          <w:rFonts w:hint="eastAsia" w:ascii="宋体" w:hAnsi="宋体" w:cs="宋体"/>
          <w:kern w:val="2"/>
          <w:szCs w:val="21"/>
        </w:rPr>
      </w:pPr>
      <w:r>
        <w:rPr>
          <w:rFonts w:hint="eastAsia" w:ascii="宋体" w:hAnsi="宋体" w:cs="宋体"/>
          <w:kern w:val="2"/>
          <w:szCs w:val="21"/>
        </w:rPr>
        <w:t>1、定义</w:t>
      </w:r>
    </w:p>
    <w:p w14:paraId="3D144C9C">
      <w:pPr>
        <w:pStyle w:val="133"/>
        <w:spacing w:line="360" w:lineRule="auto"/>
        <w:rPr>
          <w:rFonts w:hint="eastAsia" w:ascii="宋体" w:hAnsi="宋体" w:cs="宋体"/>
          <w:kern w:val="2"/>
          <w:szCs w:val="21"/>
        </w:rPr>
      </w:pPr>
      <w:r>
        <w:rPr>
          <w:rFonts w:hint="eastAsia" w:ascii="宋体" w:hAnsi="宋体" w:cs="宋体"/>
          <w:kern w:val="2"/>
          <w:szCs w:val="21"/>
        </w:rPr>
        <w:t>1.1“委托方”是指浙江省二轻集团有限责任公司，包括其法定的承继者和经许可的受让人。</w:t>
      </w:r>
    </w:p>
    <w:p w14:paraId="13372BF7">
      <w:pPr>
        <w:pStyle w:val="133"/>
        <w:spacing w:line="360" w:lineRule="auto"/>
        <w:rPr>
          <w:rFonts w:hint="eastAsia" w:ascii="宋体" w:hAnsi="宋体" w:cs="宋体"/>
          <w:kern w:val="2"/>
          <w:szCs w:val="21"/>
        </w:rPr>
      </w:pPr>
      <w:r>
        <w:rPr>
          <w:rFonts w:hint="eastAsia" w:ascii="宋体" w:hAnsi="宋体" w:cs="宋体"/>
          <w:kern w:val="2"/>
          <w:szCs w:val="21"/>
        </w:rPr>
        <w:t>1.2“实施方”是指**有限公司，包括其法定的承继者和经许可的受让人。</w:t>
      </w:r>
    </w:p>
    <w:p w14:paraId="4FE080DB">
      <w:pPr>
        <w:pStyle w:val="133"/>
        <w:spacing w:line="360" w:lineRule="auto"/>
        <w:rPr>
          <w:rFonts w:hint="eastAsia" w:ascii="宋体" w:hAnsi="宋体" w:cs="宋体"/>
          <w:kern w:val="2"/>
          <w:szCs w:val="21"/>
        </w:rPr>
      </w:pPr>
      <w:r>
        <w:rPr>
          <w:rFonts w:hint="eastAsia" w:ascii="宋体" w:hAnsi="宋体" w:cs="宋体"/>
          <w:kern w:val="2"/>
          <w:szCs w:val="21"/>
        </w:rPr>
        <w:t>1.3“合同”是指由合同条款、合同附件所构成的整体，包括双方不时进行的修改。上述文件</w:t>
      </w:r>
    </w:p>
    <w:p w14:paraId="06CBD970">
      <w:pPr>
        <w:pStyle w:val="133"/>
        <w:spacing w:line="360" w:lineRule="auto"/>
        <w:rPr>
          <w:rFonts w:hint="eastAsia" w:ascii="宋体" w:hAnsi="宋体" w:cs="宋体"/>
          <w:kern w:val="2"/>
          <w:szCs w:val="21"/>
        </w:rPr>
      </w:pPr>
      <w:r>
        <w:rPr>
          <w:rFonts w:hint="eastAsia" w:ascii="宋体" w:hAnsi="宋体" w:cs="宋体"/>
          <w:kern w:val="2"/>
          <w:szCs w:val="21"/>
        </w:rPr>
        <w:t>发生冲突时，以顺序在前者为准。同一顺序的文件有不一致之处，以签署时间较后者为准。</w:t>
      </w:r>
    </w:p>
    <w:p w14:paraId="6B773BC1">
      <w:pPr>
        <w:pStyle w:val="133"/>
        <w:spacing w:line="360" w:lineRule="auto"/>
        <w:rPr>
          <w:rFonts w:hint="eastAsia" w:ascii="宋体" w:hAnsi="宋体" w:cs="宋体"/>
          <w:kern w:val="2"/>
          <w:szCs w:val="21"/>
        </w:rPr>
      </w:pPr>
      <w:r>
        <w:rPr>
          <w:rFonts w:hint="eastAsia" w:ascii="宋体" w:hAnsi="宋体" w:cs="宋体"/>
          <w:kern w:val="2"/>
          <w:szCs w:val="21"/>
        </w:rPr>
        <w:t>1.4“合同总价”是指根据合同规定实施方在正确地完全履行合同义务后委托方应支付给实施方的报酬。</w:t>
      </w:r>
    </w:p>
    <w:p w14:paraId="57F063A8">
      <w:pPr>
        <w:pStyle w:val="133"/>
        <w:spacing w:line="360" w:lineRule="auto"/>
        <w:rPr>
          <w:rFonts w:hint="eastAsia" w:ascii="宋体" w:hAnsi="宋体" w:cs="宋体"/>
          <w:kern w:val="2"/>
          <w:szCs w:val="21"/>
        </w:rPr>
      </w:pPr>
      <w:r>
        <w:rPr>
          <w:rFonts w:hint="eastAsia" w:ascii="宋体" w:hAnsi="宋体" w:cs="宋体"/>
          <w:kern w:val="2"/>
          <w:szCs w:val="21"/>
        </w:rPr>
        <w:t>1.5“系统”系指浙江省二轻集团司库管理系统建设项目。</w:t>
      </w:r>
    </w:p>
    <w:p w14:paraId="315E1E7C">
      <w:pPr>
        <w:pStyle w:val="133"/>
        <w:spacing w:line="360" w:lineRule="auto"/>
        <w:rPr>
          <w:rFonts w:hint="eastAsia" w:ascii="宋体" w:hAnsi="宋体" w:cs="宋体"/>
          <w:kern w:val="2"/>
          <w:szCs w:val="21"/>
        </w:rPr>
      </w:pPr>
      <w:r>
        <w:rPr>
          <w:rFonts w:hint="eastAsia" w:ascii="宋体" w:hAnsi="宋体" w:cs="宋体"/>
          <w:kern w:val="2"/>
          <w:szCs w:val="21"/>
        </w:rPr>
        <w:t>1.6“项目”是指实施方依据合同规定为提供所有服务而进行的全部工作。</w:t>
      </w:r>
    </w:p>
    <w:p w14:paraId="73F1FD7B">
      <w:pPr>
        <w:pStyle w:val="133"/>
        <w:spacing w:line="360" w:lineRule="auto"/>
        <w:rPr>
          <w:rFonts w:hint="eastAsia" w:ascii="宋体" w:hAnsi="宋体" w:cs="宋体"/>
          <w:kern w:val="2"/>
          <w:szCs w:val="21"/>
        </w:rPr>
      </w:pPr>
      <w:r>
        <w:rPr>
          <w:rFonts w:hint="eastAsia" w:ascii="宋体" w:hAnsi="宋体" w:cs="宋体"/>
          <w:kern w:val="2"/>
          <w:szCs w:val="21"/>
        </w:rPr>
        <w:t>1.7“工作任务书”是指由实施方根据本项目要求制定的，经委托方签字生效的技术性合同附件。</w:t>
      </w:r>
    </w:p>
    <w:p w14:paraId="120D5363">
      <w:pPr>
        <w:pStyle w:val="133"/>
        <w:spacing w:line="360" w:lineRule="auto"/>
        <w:rPr>
          <w:rFonts w:hint="eastAsia" w:ascii="宋体" w:hAnsi="宋体" w:cs="宋体"/>
          <w:kern w:val="2"/>
          <w:szCs w:val="21"/>
        </w:rPr>
      </w:pPr>
      <w:r>
        <w:rPr>
          <w:rFonts w:hint="eastAsia" w:ascii="宋体" w:hAnsi="宋体" w:cs="宋体"/>
          <w:kern w:val="2"/>
          <w:szCs w:val="21"/>
        </w:rPr>
        <w:t>1.8“天”是指24小时；“周”是指7天。</w:t>
      </w:r>
    </w:p>
    <w:p w14:paraId="0C024D41">
      <w:pPr>
        <w:pStyle w:val="133"/>
        <w:spacing w:line="360" w:lineRule="auto"/>
        <w:rPr>
          <w:rFonts w:hint="eastAsia" w:ascii="宋体" w:hAnsi="宋体" w:cs="宋体"/>
          <w:kern w:val="2"/>
          <w:szCs w:val="21"/>
        </w:rPr>
      </w:pPr>
      <w:r>
        <w:rPr>
          <w:rFonts w:hint="eastAsia" w:ascii="宋体" w:hAnsi="宋体" w:cs="宋体"/>
          <w:kern w:val="2"/>
          <w:szCs w:val="21"/>
        </w:rPr>
        <w:t>2、规格和标准</w:t>
      </w:r>
    </w:p>
    <w:p w14:paraId="1D74DC7D">
      <w:pPr>
        <w:pStyle w:val="133"/>
        <w:spacing w:line="360" w:lineRule="auto"/>
        <w:rPr>
          <w:rFonts w:hint="eastAsia" w:ascii="宋体" w:hAnsi="宋体" w:cs="宋体"/>
          <w:kern w:val="2"/>
          <w:szCs w:val="21"/>
        </w:rPr>
      </w:pPr>
      <w:r>
        <w:rPr>
          <w:rFonts w:hint="eastAsia" w:ascii="宋体" w:hAnsi="宋体" w:cs="宋体"/>
          <w:kern w:val="2"/>
          <w:szCs w:val="21"/>
        </w:rPr>
        <w:t>2.1实施方应委托方要求提供技术服务，提供的技术服务应满足本合同附件《工作任务书》中所述的标准。如果没有提及适用标准，则应符合中华人民共和国法定、行业或惯常商业标准。</w:t>
      </w:r>
    </w:p>
    <w:p w14:paraId="60CA3A93">
      <w:pPr>
        <w:pStyle w:val="133"/>
        <w:spacing w:line="360" w:lineRule="auto"/>
        <w:rPr>
          <w:rFonts w:hint="eastAsia" w:ascii="宋体" w:hAnsi="宋体" w:cs="宋体"/>
          <w:kern w:val="2"/>
          <w:szCs w:val="21"/>
        </w:rPr>
      </w:pPr>
      <w:r>
        <w:rPr>
          <w:rFonts w:hint="eastAsia" w:ascii="宋体" w:hAnsi="宋体" w:cs="宋体"/>
          <w:kern w:val="2"/>
          <w:szCs w:val="21"/>
        </w:rPr>
        <w:t>2.2实施方应按委托方要求向委托方提供有关标准的中文或英文文本。</w:t>
      </w:r>
    </w:p>
    <w:p w14:paraId="3610BAF8">
      <w:pPr>
        <w:pStyle w:val="133"/>
        <w:spacing w:line="360" w:lineRule="auto"/>
        <w:rPr>
          <w:rFonts w:hint="eastAsia" w:ascii="宋体" w:hAnsi="宋体" w:eastAsia="宋体" w:cs="宋体"/>
          <w:kern w:val="2"/>
          <w:szCs w:val="21"/>
          <w:lang w:eastAsia="zh-CN"/>
        </w:rPr>
      </w:pPr>
      <w:r>
        <w:rPr>
          <w:rFonts w:hint="eastAsia" w:ascii="宋体" w:hAnsi="宋体" w:cs="宋体"/>
          <w:kern w:val="2"/>
          <w:szCs w:val="21"/>
        </w:rPr>
        <w:t>2.3双方确定，按以下标准及方法对乙方完成的项目建设成果进行验收：参照本合同附件《工作任务书》中的验收标准。</w:t>
      </w:r>
    </w:p>
    <w:p w14:paraId="3B278145">
      <w:pPr>
        <w:pStyle w:val="133"/>
        <w:spacing w:line="360" w:lineRule="auto"/>
        <w:rPr>
          <w:rFonts w:hint="eastAsia" w:ascii="宋体" w:hAnsi="宋体" w:cs="宋体"/>
          <w:kern w:val="2"/>
          <w:szCs w:val="21"/>
        </w:rPr>
      </w:pPr>
      <w:r>
        <w:rPr>
          <w:rFonts w:hint="eastAsia" w:ascii="宋体" w:hAnsi="宋体" w:cs="宋体"/>
          <w:kern w:val="2"/>
          <w:szCs w:val="21"/>
        </w:rPr>
        <w:t>3、合同价格</w:t>
      </w:r>
    </w:p>
    <w:p w14:paraId="238951B0">
      <w:pPr>
        <w:pStyle w:val="133"/>
        <w:spacing w:line="360" w:lineRule="auto"/>
        <w:rPr>
          <w:rFonts w:hint="eastAsia" w:ascii="宋体" w:hAnsi="宋体" w:cs="宋体"/>
          <w:kern w:val="2"/>
          <w:szCs w:val="21"/>
        </w:rPr>
      </w:pPr>
      <w:r>
        <w:rPr>
          <w:rFonts w:hint="eastAsia" w:ascii="宋体" w:hAnsi="宋体" w:cs="宋体"/>
          <w:kern w:val="2"/>
          <w:szCs w:val="21"/>
        </w:rPr>
        <w:t>本合同总价为人民币***圆整（￥****元）。该价格已包含系统开发费、安装费、实施费、培训费、差旅费和税费等全部费用。本合同总价在合同有效期、服务工作时间、服务人员数量和技术服务内容不发生变化的情况下为固定不变价。</w:t>
      </w:r>
    </w:p>
    <w:p w14:paraId="4294D8A6">
      <w:pPr>
        <w:pStyle w:val="133"/>
        <w:spacing w:line="360" w:lineRule="auto"/>
        <w:rPr>
          <w:rFonts w:hint="eastAsia" w:ascii="宋体" w:hAnsi="宋体" w:cs="宋体"/>
          <w:kern w:val="2"/>
          <w:szCs w:val="21"/>
        </w:rPr>
      </w:pPr>
      <w:r>
        <w:rPr>
          <w:rFonts w:hint="eastAsia" w:ascii="宋体" w:hAnsi="宋体" w:cs="宋体"/>
          <w:kern w:val="2"/>
          <w:szCs w:val="21"/>
        </w:rPr>
        <w:t>4、付款</w:t>
      </w:r>
    </w:p>
    <w:p w14:paraId="1F360717">
      <w:pPr>
        <w:pStyle w:val="133"/>
        <w:spacing w:line="360" w:lineRule="auto"/>
        <w:rPr>
          <w:rFonts w:hint="eastAsia" w:ascii="宋体" w:hAnsi="宋体" w:cs="宋体"/>
          <w:kern w:val="2"/>
          <w:szCs w:val="21"/>
        </w:rPr>
      </w:pPr>
      <w:r>
        <w:rPr>
          <w:rFonts w:hint="eastAsia" w:ascii="宋体" w:hAnsi="宋体" w:cs="宋体"/>
          <w:kern w:val="2"/>
          <w:szCs w:val="21"/>
        </w:rPr>
        <w:t>付款方式如下:</w:t>
      </w:r>
    </w:p>
    <w:p w14:paraId="20336B6F">
      <w:pPr>
        <w:pStyle w:val="133"/>
        <w:shd w:val="clear" w:color="auto" w:fill="FFFFFF"/>
        <w:spacing w:line="360" w:lineRule="auto"/>
        <w:rPr>
          <w:rFonts w:hint="eastAsia" w:ascii="宋体" w:hAnsi="宋体" w:cs="宋体"/>
          <w:kern w:val="2"/>
          <w:szCs w:val="21"/>
        </w:rPr>
      </w:pPr>
      <w:r>
        <w:rPr>
          <w:rFonts w:hint="eastAsia" w:ascii="宋体" w:hAnsi="宋体" w:cs="宋体"/>
          <w:kern w:val="2"/>
          <w:szCs w:val="21"/>
        </w:rPr>
        <w:t>4.1 在合同签订生效且收到实施方开具的正式发票后10个工作日内，委托方支付合同总价的</w:t>
      </w:r>
      <w:r>
        <w:rPr>
          <w:rFonts w:hint="eastAsia" w:ascii="宋体" w:hAnsi="宋体" w:cs="宋体"/>
          <w:kern w:val="2"/>
          <w:szCs w:val="21"/>
          <w:lang w:val="en-US" w:eastAsia="zh-CN"/>
        </w:rPr>
        <w:t>3</w:t>
      </w:r>
      <w:r>
        <w:rPr>
          <w:rFonts w:hint="eastAsia" w:ascii="宋体" w:hAnsi="宋体" w:cs="宋体"/>
          <w:kern w:val="2"/>
          <w:szCs w:val="21"/>
        </w:rPr>
        <w:t>0%；</w:t>
      </w:r>
    </w:p>
    <w:p w14:paraId="330BF669">
      <w:pPr>
        <w:pStyle w:val="133"/>
        <w:shd w:val="clear" w:color="auto" w:fill="FFFFFF"/>
        <w:spacing w:line="360" w:lineRule="auto"/>
        <w:rPr>
          <w:rFonts w:hint="eastAsia" w:ascii="宋体" w:hAnsi="宋体" w:cs="宋体"/>
          <w:kern w:val="2"/>
          <w:szCs w:val="21"/>
        </w:rPr>
      </w:pPr>
      <w:r>
        <w:rPr>
          <w:rFonts w:hint="eastAsia" w:ascii="宋体" w:hAnsi="宋体" w:cs="宋体"/>
          <w:kern w:val="2"/>
          <w:szCs w:val="21"/>
        </w:rPr>
        <w:t>4.2系统上线试运行且收到实施方开具的正式发票后10个工作日内，委托方支付合同总价的</w:t>
      </w:r>
      <w:r>
        <w:rPr>
          <w:rFonts w:hint="eastAsia" w:ascii="宋体" w:hAnsi="宋体" w:cs="宋体"/>
          <w:kern w:val="2"/>
          <w:szCs w:val="21"/>
          <w:lang w:val="en-US" w:eastAsia="zh-CN"/>
        </w:rPr>
        <w:t>2</w:t>
      </w:r>
      <w:r>
        <w:rPr>
          <w:rFonts w:hint="eastAsia" w:ascii="宋体" w:hAnsi="宋体" w:cs="宋体"/>
          <w:kern w:val="2"/>
          <w:szCs w:val="21"/>
        </w:rPr>
        <w:t>0%；</w:t>
      </w:r>
    </w:p>
    <w:p w14:paraId="7968ED5E">
      <w:pPr>
        <w:pStyle w:val="133"/>
        <w:shd w:val="clear" w:color="auto" w:fill="FFFFFF"/>
        <w:spacing w:line="360" w:lineRule="auto"/>
        <w:rPr>
          <w:rFonts w:hint="eastAsia" w:ascii="宋体" w:hAnsi="宋体" w:cs="宋体"/>
          <w:kern w:val="2"/>
          <w:szCs w:val="21"/>
        </w:rPr>
      </w:pPr>
      <w:r>
        <w:rPr>
          <w:rFonts w:hint="eastAsia" w:ascii="宋体" w:hAnsi="宋体" w:cs="宋体"/>
          <w:kern w:val="2"/>
          <w:szCs w:val="21"/>
        </w:rPr>
        <w:t>4.3系统通过验收且收到实施方开具的正式发票后10个工作日内，委托方支付合同总价的4</w:t>
      </w:r>
      <w:r>
        <w:rPr>
          <w:rFonts w:hint="eastAsia" w:ascii="宋体" w:hAnsi="宋体" w:cs="宋体"/>
          <w:kern w:val="2"/>
          <w:szCs w:val="21"/>
          <w:lang w:val="en-US" w:eastAsia="zh-CN"/>
        </w:rPr>
        <w:t>5</w:t>
      </w:r>
      <w:r>
        <w:rPr>
          <w:rFonts w:hint="eastAsia" w:ascii="宋体" w:hAnsi="宋体" w:cs="宋体"/>
          <w:kern w:val="2"/>
          <w:szCs w:val="21"/>
        </w:rPr>
        <w:t>%；</w:t>
      </w:r>
    </w:p>
    <w:p w14:paraId="3C5A25C3">
      <w:pPr>
        <w:pStyle w:val="133"/>
        <w:shd w:val="clear" w:color="auto" w:fill="FFFFFF"/>
        <w:spacing w:line="360" w:lineRule="auto"/>
        <w:rPr>
          <w:rFonts w:hint="eastAsia" w:ascii="宋体" w:hAnsi="宋体" w:cs="宋体"/>
          <w:kern w:val="2"/>
          <w:szCs w:val="21"/>
        </w:rPr>
      </w:pPr>
      <w:r>
        <w:rPr>
          <w:rFonts w:hint="eastAsia" w:ascii="宋体" w:hAnsi="宋体" w:cs="宋体"/>
          <w:kern w:val="2"/>
          <w:szCs w:val="21"/>
        </w:rPr>
        <w:t>4.4合同总价的</w:t>
      </w:r>
      <w:r>
        <w:rPr>
          <w:rFonts w:hint="eastAsia" w:ascii="宋体" w:hAnsi="宋体" w:cs="宋体"/>
          <w:kern w:val="2"/>
          <w:szCs w:val="21"/>
          <w:lang w:val="en-US" w:eastAsia="zh-CN"/>
        </w:rPr>
        <w:t>5</w:t>
      </w:r>
      <w:r>
        <w:rPr>
          <w:rFonts w:hint="eastAsia" w:ascii="宋体" w:hAnsi="宋体" w:cs="宋体"/>
          <w:kern w:val="2"/>
          <w:szCs w:val="21"/>
        </w:rPr>
        <w:t>%转为质量保证金，如实施方违约，委托方可从该款项中扣除违约金及赔偿金，不足部分实施方应予补足；如实施方无质量与服务瑕疵，委托方在质保服务期结束</w:t>
      </w:r>
      <w:r>
        <w:rPr>
          <w:rFonts w:hint="eastAsia" w:ascii="宋体" w:hAnsi="宋体" w:cs="宋体"/>
          <w:kern w:val="2"/>
          <w:szCs w:val="21"/>
          <w:lang w:eastAsia="zh-CN"/>
        </w:rPr>
        <w:t>（</w:t>
      </w:r>
      <w:r>
        <w:rPr>
          <w:rFonts w:hint="eastAsia" w:ascii="宋体" w:hAnsi="宋体" w:cs="宋体"/>
          <w:kern w:val="2"/>
          <w:szCs w:val="21"/>
          <w:lang w:val="en-US" w:eastAsia="zh-CN"/>
        </w:rPr>
        <w:t>2027年12月31日）</w:t>
      </w:r>
      <w:r>
        <w:rPr>
          <w:rFonts w:hint="eastAsia" w:ascii="宋体" w:hAnsi="宋体" w:cs="宋体"/>
          <w:kern w:val="2"/>
          <w:szCs w:val="21"/>
        </w:rPr>
        <w:t>且收到实施方开具的正式发票后10个工作日内，支付合同总价的</w:t>
      </w:r>
      <w:r>
        <w:rPr>
          <w:rFonts w:hint="eastAsia" w:ascii="宋体" w:hAnsi="宋体" w:cs="宋体"/>
          <w:kern w:val="2"/>
          <w:szCs w:val="21"/>
          <w:lang w:val="en-US" w:eastAsia="zh-CN"/>
        </w:rPr>
        <w:t>5</w:t>
      </w:r>
      <w:r>
        <w:rPr>
          <w:rFonts w:hint="eastAsia" w:ascii="宋体" w:hAnsi="宋体" w:cs="宋体"/>
          <w:kern w:val="2"/>
          <w:szCs w:val="21"/>
        </w:rPr>
        <w:t>%。</w:t>
      </w:r>
    </w:p>
    <w:p w14:paraId="68297085">
      <w:pPr>
        <w:pStyle w:val="133"/>
        <w:spacing w:line="360" w:lineRule="auto"/>
        <w:rPr>
          <w:rFonts w:hint="eastAsia" w:ascii="宋体" w:hAnsi="宋体" w:cs="宋体"/>
          <w:kern w:val="2"/>
          <w:szCs w:val="21"/>
        </w:rPr>
      </w:pPr>
      <w:r>
        <w:rPr>
          <w:rFonts w:hint="eastAsia" w:ascii="宋体" w:hAnsi="宋体" w:cs="宋体"/>
          <w:kern w:val="2"/>
          <w:szCs w:val="21"/>
        </w:rPr>
        <w:t>4.5 乙方开户银行名称、地址和账号为：</w:t>
      </w:r>
    </w:p>
    <w:p w14:paraId="28DCBF94">
      <w:pPr>
        <w:pStyle w:val="133"/>
        <w:spacing w:line="360" w:lineRule="auto"/>
        <w:rPr>
          <w:rFonts w:hint="eastAsia" w:ascii="宋体" w:hAnsi="宋体" w:cs="宋体"/>
          <w:kern w:val="2"/>
          <w:szCs w:val="21"/>
        </w:rPr>
      </w:pPr>
      <w:r>
        <w:rPr>
          <w:rFonts w:hint="eastAsia" w:ascii="宋体" w:hAnsi="宋体" w:cs="宋体"/>
          <w:kern w:val="2"/>
          <w:szCs w:val="21"/>
        </w:rPr>
        <w:t>开户银行：********</w:t>
      </w:r>
    </w:p>
    <w:p w14:paraId="467A3FB7">
      <w:pPr>
        <w:pStyle w:val="133"/>
        <w:spacing w:line="360" w:lineRule="auto"/>
        <w:rPr>
          <w:rFonts w:hint="eastAsia" w:ascii="宋体" w:hAnsi="宋体" w:cs="宋体"/>
          <w:kern w:val="2"/>
          <w:szCs w:val="21"/>
        </w:rPr>
      </w:pPr>
      <w:r>
        <w:rPr>
          <w:rFonts w:hint="eastAsia" w:ascii="宋体" w:hAnsi="宋体" w:cs="宋体"/>
          <w:kern w:val="2"/>
          <w:szCs w:val="21"/>
        </w:rPr>
        <w:t>地址：**********</w:t>
      </w:r>
    </w:p>
    <w:p w14:paraId="623A5725">
      <w:pPr>
        <w:pStyle w:val="133"/>
        <w:spacing w:line="360" w:lineRule="auto"/>
        <w:rPr>
          <w:rFonts w:hint="eastAsia" w:ascii="宋体" w:hAnsi="宋体" w:cs="宋体"/>
          <w:kern w:val="2"/>
          <w:szCs w:val="21"/>
        </w:rPr>
      </w:pPr>
      <w:r>
        <w:rPr>
          <w:rFonts w:hint="eastAsia" w:ascii="宋体" w:hAnsi="宋体" w:cs="宋体"/>
          <w:kern w:val="2"/>
          <w:szCs w:val="21"/>
        </w:rPr>
        <w:t>账号： *********</w:t>
      </w:r>
    </w:p>
    <w:p w14:paraId="544E1F1F">
      <w:pPr>
        <w:pStyle w:val="133"/>
        <w:spacing w:line="360" w:lineRule="auto"/>
        <w:rPr>
          <w:rFonts w:hint="eastAsia" w:ascii="宋体" w:hAnsi="宋体" w:cs="宋体"/>
          <w:kern w:val="2"/>
          <w:szCs w:val="21"/>
        </w:rPr>
      </w:pPr>
      <w:r>
        <w:rPr>
          <w:rFonts w:hint="eastAsia" w:ascii="宋体" w:hAnsi="宋体" w:cs="宋体"/>
          <w:kern w:val="2"/>
          <w:szCs w:val="21"/>
        </w:rPr>
        <w:t>5、实施服务</w:t>
      </w:r>
    </w:p>
    <w:p w14:paraId="5F2DE867">
      <w:pPr>
        <w:pStyle w:val="133"/>
        <w:spacing w:line="360" w:lineRule="auto"/>
        <w:rPr>
          <w:rFonts w:hint="eastAsia" w:ascii="宋体" w:hAnsi="宋体" w:cs="宋体"/>
          <w:kern w:val="2"/>
          <w:szCs w:val="21"/>
        </w:rPr>
      </w:pPr>
      <w:r>
        <w:rPr>
          <w:rFonts w:hint="eastAsia" w:ascii="宋体" w:hAnsi="宋体" w:cs="宋体"/>
          <w:kern w:val="2"/>
          <w:szCs w:val="21"/>
        </w:rPr>
        <w:t>5.1实施方应按照合同的要求及时提供开发、安装、测试、验收、软件客户化、运行维护等全过程的实施服务。</w:t>
      </w:r>
    </w:p>
    <w:p w14:paraId="3AEAF3D8">
      <w:pPr>
        <w:pStyle w:val="133"/>
        <w:spacing w:line="360" w:lineRule="auto"/>
        <w:rPr>
          <w:rFonts w:hint="eastAsia" w:ascii="宋体" w:hAnsi="宋体" w:cs="宋体"/>
          <w:kern w:val="2"/>
          <w:szCs w:val="21"/>
        </w:rPr>
      </w:pPr>
      <w:r>
        <w:rPr>
          <w:rFonts w:hint="eastAsia" w:ascii="宋体" w:hAnsi="宋体" w:cs="宋体"/>
          <w:kern w:val="2"/>
          <w:szCs w:val="21"/>
        </w:rPr>
        <w:t>5.2实施方需就该项目指定项目负责人（项目经理）。负责项目组织管理，解决项目实施中技术、进度等有关问题。未经委托方的事先书面同意，实施方不得单方更换项目经理。</w:t>
      </w:r>
    </w:p>
    <w:p w14:paraId="5C0A437B">
      <w:pPr>
        <w:pStyle w:val="133"/>
        <w:spacing w:line="360" w:lineRule="auto"/>
        <w:rPr>
          <w:rFonts w:hint="eastAsia" w:ascii="宋体" w:hAnsi="宋体" w:cs="宋体"/>
          <w:kern w:val="2"/>
          <w:szCs w:val="21"/>
        </w:rPr>
      </w:pPr>
      <w:r>
        <w:rPr>
          <w:rFonts w:hint="eastAsia" w:ascii="宋体" w:hAnsi="宋体" w:cs="宋体"/>
          <w:kern w:val="2"/>
          <w:szCs w:val="21"/>
        </w:rPr>
        <w:t>5.3实施方派到现场服务的技术人员应是有实践经验、可胜任此项工作的人员。未经委托方同意，实施方不得更换派到现场服务的技术人员。对不符合要求的实施方现场服务人员，委托方有权提出更换，实施方应根据现场需要，重新选派委托方认可的服务人员。技术服务人员的费用，如往返交通费、食宿费用等都应视为已包括在合同总价内。</w:t>
      </w:r>
    </w:p>
    <w:p w14:paraId="0A3A9F72">
      <w:pPr>
        <w:pStyle w:val="133"/>
        <w:spacing w:line="360" w:lineRule="auto"/>
        <w:rPr>
          <w:rFonts w:hint="eastAsia" w:ascii="宋体" w:hAnsi="宋体" w:cs="宋体"/>
          <w:kern w:val="2"/>
          <w:szCs w:val="21"/>
        </w:rPr>
      </w:pPr>
      <w:r>
        <w:rPr>
          <w:rFonts w:hint="eastAsia" w:ascii="宋体" w:hAnsi="宋体" w:cs="宋体"/>
          <w:kern w:val="2"/>
          <w:szCs w:val="21"/>
        </w:rPr>
        <w:t>5.4实施方应确保所提供的服务不侵犯任何第三方的知识产权或其他合法权利。在实施过程中创作的工作任务书中注明的交付成果及中间过渡产品的知识产权由委托方享有。为免生歧义，仅在合同解除且实施方返还全部合同价款的情况下，知识产权仍由实施方享有；在其他情况下，委托方应就其实际支付价款所对应的工作成果及过渡产品享有知识产权。</w:t>
      </w:r>
    </w:p>
    <w:p w14:paraId="03C33792">
      <w:pPr>
        <w:pStyle w:val="133"/>
        <w:spacing w:line="360" w:lineRule="auto"/>
        <w:rPr>
          <w:rFonts w:hint="eastAsia" w:ascii="宋体" w:hAnsi="宋体" w:cs="宋体"/>
          <w:kern w:val="2"/>
          <w:szCs w:val="21"/>
        </w:rPr>
      </w:pPr>
      <w:r>
        <w:rPr>
          <w:rFonts w:hint="eastAsia" w:ascii="宋体" w:hAnsi="宋体" w:cs="宋体"/>
          <w:kern w:val="2"/>
          <w:szCs w:val="21"/>
        </w:rPr>
        <w:t>5.5未经委托方同意，实施方不得在对外宣传、商业活动等场合援引除委托方客户名称以外的其他任何与本合同相关的事项,包括但不限于大数据竞争情报系统服务事项、合同名称、委托方大数据竞争情报系统内的业务数据、采集内容和规则及相关管理规则、数据分析规则等。</w:t>
      </w:r>
    </w:p>
    <w:p w14:paraId="28E89017">
      <w:pPr>
        <w:pStyle w:val="133"/>
        <w:spacing w:line="360" w:lineRule="auto"/>
        <w:rPr>
          <w:rFonts w:hint="eastAsia" w:ascii="宋体" w:hAnsi="宋体" w:cs="宋体"/>
          <w:kern w:val="2"/>
          <w:szCs w:val="21"/>
        </w:rPr>
      </w:pPr>
      <w:r>
        <w:rPr>
          <w:rFonts w:hint="eastAsia" w:ascii="宋体" w:hAnsi="宋体" w:cs="宋体"/>
          <w:kern w:val="2"/>
          <w:szCs w:val="21"/>
        </w:rPr>
        <w:t>6、联络会议和技术培训</w:t>
      </w:r>
    </w:p>
    <w:p w14:paraId="425EC542">
      <w:pPr>
        <w:pStyle w:val="133"/>
        <w:spacing w:line="360" w:lineRule="auto"/>
        <w:rPr>
          <w:rFonts w:hint="eastAsia" w:ascii="宋体" w:hAnsi="宋体" w:cs="宋体"/>
          <w:kern w:val="2"/>
          <w:szCs w:val="21"/>
        </w:rPr>
      </w:pPr>
      <w:r>
        <w:rPr>
          <w:rFonts w:hint="eastAsia" w:ascii="宋体" w:hAnsi="宋体" w:cs="宋体"/>
          <w:kern w:val="2"/>
          <w:szCs w:val="21"/>
        </w:rPr>
        <w:t>6.1在项目实施过程中，如遇有重大问题需要双方立即研究协商时，任何一方均可建议召开会议，在一般情况下，另一方应同意参加。</w:t>
      </w:r>
    </w:p>
    <w:p w14:paraId="2D5EE974">
      <w:pPr>
        <w:pStyle w:val="133"/>
        <w:spacing w:line="360" w:lineRule="auto"/>
        <w:rPr>
          <w:rFonts w:hint="eastAsia" w:ascii="宋体" w:hAnsi="宋体" w:cs="宋体"/>
          <w:kern w:val="2"/>
          <w:szCs w:val="21"/>
        </w:rPr>
      </w:pPr>
      <w:r>
        <w:rPr>
          <w:rFonts w:hint="eastAsia" w:ascii="宋体" w:hAnsi="宋体" w:cs="宋体"/>
          <w:kern w:val="2"/>
          <w:szCs w:val="21"/>
        </w:rPr>
        <w:t>6.2如涉及合同条款有修改时，双方均应签署会议纪要。须经双方法定代表人或授权代表签字、盖章同意，以修改本为准。</w:t>
      </w:r>
    </w:p>
    <w:p w14:paraId="72F7AD73">
      <w:pPr>
        <w:pStyle w:val="133"/>
        <w:spacing w:line="360" w:lineRule="auto"/>
        <w:rPr>
          <w:rFonts w:hint="eastAsia" w:ascii="宋体" w:hAnsi="宋体" w:cs="宋体"/>
          <w:kern w:val="2"/>
          <w:szCs w:val="21"/>
        </w:rPr>
      </w:pPr>
      <w:r>
        <w:rPr>
          <w:rFonts w:hint="eastAsia" w:ascii="宋体" w:hAnsi="宋体" w:cs="宋体"/>
          <w:kern w:val="2"/>
          <w:szCs w:val="21"/>
        </w:rPr>
        <w:t>6.3实施方提出并经双方在会议上确定的开发、安装、测试、培训、运行的实施方案，双方如有修改，须以书面形式通知对方，经对方确认后方可进行。因委托方需要提出《工作任务书》范围以外新的服务需求，实施方应给予充分考虑，双方按照项目变更流程进行处理。</w:t>
      </w:r>
    </w:p>
    <w:p w14:paraId="2AD5F21F">
      <w:pPr>
        <w:pStyle w:val="133"/>
        <w:spacing w:line="360" w:lineRule="auto"/>
        <w:rPr>
          <w:rFonts w:hint="eastAsia" w:ascii="宋体" w:hAnsi="宋体" w:cs="宋体"/>
          <w:kern w:val="2"/>
          <w:szCs w:val="21"/>
        </w:rPr>
      </w:pPr>
      <w:r>
        <w:rPr>
          <w:rFonts w:hint="eastAsia" w:ascii="宋体" w:hAnsi="宋体" w:cs="宋体"/>
          <w:kern w:val="2"/>
          <w:szCs w:val="21"/>
        </w:rPr>
        <w:t>6.4实施方需提供切实、可行的知识转移和技术培训，使委托方的相关人员能够熟练使用和维护该系统，达到独立管理和维护系统的能力。</w:t>
      </w:r>
    </w:p>
    <w:p w14:paraId="0599C69C">
      <w:pPr>
        <w:pStyle w:val="133"/>
        <w:spacing w:line="360" w:lineRule="auto"/>
        <w:rPr>
          <w:rFonts w:hint="eastAsia" w:ascii="宋体" w:hAnsi="宋体" w:cs="宋体"/>
          <w:kern w:val="2"/>
          <w:szCs w:val="21"/>
        </w:rPr>
      </w:pPr>
      <w:r>
        <w:rPr>
          <w:rFonts w:hint="eastAsia" w:ascii="宋体" w:hAnsi="宋体" w:cs="宋体"/>
          <w:kern w:val="2"/>
          <w:szCs w:val="21"/>
        </w:rPr>
        <w:t>6.5知识转移和技术培训的具体内容详见本合同附件《工作任务书》。</w:t>
      </w:r>
    </w:p>
    <w:p w14:paraId="346BB512">
      <w:pPr>
        <w:pStyle w:val="133"/>
        <w:spacing w:line="360" w:lineRule="auto"/>
        <w:rPr>
          <w:rFonts w:hint="eastAsia" w:ascii="宋体" w:hAnsi="宋体" w:cs="宋体"/>
          <w:kern w:val="2"/>
          <w:szCs w:val="21"/>
        </w:rPr>
      </w:pPr>
      <w:r>
        <w:rPr>
          <w:rFonts w:hint="eastAsia" w:ascii="宋体" w:hAnsi="宋体" w:cs="宋体"/>
          <w:kern w:val="2"/>
          <w:szCs w:val="21"/>
        </w:rPr>
        <w:t>7、质量保证</w:t>
      </w:r>
    </w:p>
    <w:p w14:paraId="37E4271D">
      <w:pPr>
        <w:pStyle w:val="133"/>
        <w:spacing w:line="360" w:lineRule="auto"/>
        <w:rPr>
          <w:rFonts w:hint="eastAsia" w:ascii="宋体" w:hAnsi="宋体" w:cs="宋体"/>
          <w:kern w:val="2"/>
          <w:szCs w:val="21"/>
        </w:rPr>
      </w:pPr>
      <w:r>
        <w:rPr>
          <w:rFonts w:hint="eastAsia" w:ascii="宋体" w:hAnsi="宋体" w:cs="宋体"/>
          <w:kern w:val="2"/>
          <w:szCs w:val="21"/>
        </w:rPr>
        <w:t>7.1实施方应对浙江省二轻集团司库管理系统建设项目的安装、实施、测试和验收等建立完整的、有效的质量保证体系，制定质量保证计划并坚持实施。</w:t>
      </w:r>
    </w:p>
    <w:p w14:paraId="70CEB391">
      <w:pPr>
        <w:pStyle w:val="133"/>
        <w:spacing w:line="360" w:lineRule="auto"/>
        <w:rPr>
          <w:rFonts w:hint="eastAsia" w:ascii="宋体" w:hAnsi="宋体" w:cs="宋体"/>
          <w:kern w:val="2"/>
          <w:szCs w:val="21"/>
        </w:rPr>
      </w:pPr>
      <w:r>
        <w:rPr>
          <w:rFonts w:hint="eastAsia" w:ascii="宋体" w:hAnsi="宋体" w:cs="宋体"/>
          <w:kern w:val="2"/>
          <w:szCs w:val="21"/>
        </w:rPr>
        <w:t>7.2实施方应保证提供的实施服务能满足该项目的安装、测试、运行和维护要求。所交付的成果满足《工作任务书》的要求。</w:t>
      </w:r>
    </w:p>
    <w:p w14:paraId="0A5EABC1">
      <w:pPr>
        <w:pStyle w:val="133"/>
        <w:spacing w:line="360" w:lineRule="auto"/>
        <w:rPr>
          <w:rFonts w:hint="eastAsia" w:ascii="宋体" w:hAnsi="宋体" w:cs="宋体"/>
          <w:kern w:val="2"/>
          <w:szCs w:val="21"/>
        </w:rPr>
      </w:pPr>
      <w:r>
        <w:rPr>
          <w:rFonts w:hint="eastAsia" w:ascii="宋体" w:hAnsi="宋体" w:cs="宋体"/>
          <w:kern w:val="2"/>
          <w:szCs w:val="21"/>
        </w:rPr>
        <w:t>8、保密责任</w:t>
      </w:r>
    </w:p>
    <w:p w14:paraId="2FB26C1D">
      <w:pPr>
        <w:pStyle w:val="133"/>
        <w:spacing w:line="360" w:lineRule="auto"/>
        <w:rPr>
          <w:rFonts w:hint="eastAsia" w:ascii="宋体" w:hAnsi="宋体" w:cs="宋体"/>
          <w:kern w:val="2"/>
          <w:szCs w:val="21"/>
        </w:rPr>
      </w:pPr>
      <w:r>
        <w:rPr>
          <w:rFonts w:hint="eastAsia" w:ascii="宋体" w:hAnsi="宋体" w:cs="宋体"/>
          <w:kern w:val="2"/>
          <w:szCs w:val="21"/>
        </w:rPr>
        <w:t>8.1实施方及实施方工作人员对在本合同履行过程中所获知的委托方商业秘密以及其他尚未公开的一切资料和信息承担保密责任，包括但不限于，技术或商业信息、设计、计划、图纸、软件、数据、工程和设计实践、工艺、运行条件、发明、设备、设备说明书以及样品、程序、运营计划、过程、规划、业绩、文件、模型、绘图、影象、报告、信函、备注、研究和其他技术信息，实施方及实施方工作人员被告知具有专有和保密性质的资料或信息，无论是否明确标注或标记为“保密”。未经委托方书面许可，实施方及实施方工作人员不得将其泄露给任何第三方或用于本合同之外的任何用途。保密期限：永久保密直至该保密信息已为公众所知悉为止。</w:t>
      </w:r>
    </w:p>
    <w:p w14:paraId="6DB6150A">
      <w:pPr>
        <w:pStyle w:val="133"/>
        <w:spacing w:line="360" w:lineRule="auto"/>
        <w:rPr>
          <w:rFonts w:hint="eastAsia" w:ascii="宋体" w:hAnsi="宋体" w:cs="宋体"/>
          <w:kern w:val="2"/>
          <w:szCs w:val="21"/>
        </w:rPr>
      </w:pPr>
      <w:r>
        <w:rPr>
          <w:rFonts w:hint="eastAsia" w:ascii="宋体" w:hAnsi="宋体" w:cs="宋体"/>
          <w:kern w:val="2"/>
          <w:szCs w:val="21"/>
        </w:rPr>
        <w:t>8.2本条款为独立条款，不因合同解除或终止而失效。</w:t>
      </w:r>
    </w:p>
    <w:p w14:paraId="7BEB6D26">
      <w:pPr>
        <w:pStyle w:val="133"/>
        <w:spacing w:line="360" w:lineRule="auto"/>
        <w:rPr>
          <w:rFonts w:hint="eastAsia" w:ascii="宋体" w:hAnsi="宋体" w:cs="宋体"/>
          <w:kern w:val="2"/>
          <w:szCs w:val="21"/>
        </w:rPr>
      </w:pPr>
      <w:r>
        <w:rPr>
          <w:rFonts w:hint="eastAsia" w:ascii="宋体" w:hAnsi="宋体" w:cs="宋体"/>
          <w:kern w:val="2"/>
          <w:szCs w:val="21"/>
        </w:rPr>
        <w:t>9、违约与索赔</w:t>
      </w:r>
    </w:p>
    <w:p w14:paraId="1D767A72">
      <w:pPr>
        <w:pStyle w:val="133"/>
        <w:spacing w:line="360" w:lineRule="auto"/>
        <w:rPr>
          <w:rFonts w:hint="eastAsia" w:ascii="宋体" w:hAnsi="宋体" w:cs="宋体"/>
          <w:kern w:val="2"/>
          <w:szCs w:val="21"/>
        </w:rPr>
      </w:pPr>
      <w:r>
        <w:rPr>
          <w:rFonts w:hint="eastAsia" w:ascii="宋体" w:hAnsi="宋体" w:cs="宋体"/>
          <w:kern w:val="2"/>
          <w:szCs w:val="21"/>
        </w:rPr>
        <w:t>9.1委托方违约责任</w:t>
      </w:r>
    </w:p>
    <w:p w14:paraId="33157982">
      <w:pPr>
        <w:pStyle w:val="133"/>
        <w:spacing w:line="360" w:lineRule="auto"/>
        <w:rPr>
          <w:rFonts w:hint="eastAsia" w:ascii="宋体" w:hAnsi="宋体" w:cs="宋体"/>
          <w:kern w:val="2"/>
          <w:szCs w:val="21"/>
        </w:rPr>
      </w:pPr>
      <w:r>
        <w:rPr>
          <w:rFonts w:hint="eastAsia" w:ascii="宋体" w:hAnsi="宋体" w:cs="宋体"/>
          <w:kern w:val="2"/>
          <w:szCs w:val="21"/>
        </w:rPr>
        <w:t>9.1.1因委托方单方原因延期支付服务报酬的，应按照银行同期贷款利率支付违约金。</w:t>
      </w:r>
    </w:p>
    <w:p w14:paraId="4DFAC5CD">
      <w:pPr>
        <w:pStyle w:val="133"/>
        <w:spacing w:line="360" w:lineRule="auto"/>
        <w:rPr>
          <w:rFonts w:hint="eastAsia" w:ascii="宋体" w:hAnsi="宋体" w:cs="宋体"/>
          <w:kern w:val="2"/>
          <w:szCs w:val="21"/>
        </w:rPr>
      </w:pPr>
      <w:r>
        <w:rPr>
          <w:rFonts w:hint="eastAsia" w:ascii="宋体" w:hAnsi="宋体" w:cs="宋体"/>
          <w:kern w:val="2"/>
          <w:szCs w:val="21"/>
        </w:rPr>
        <w:t>9.1.2若本合同因委托方迟延履行义务或者有其他违约行为致使实施方不能实现合同目的，实施方有权解除合同，委托方应当支付截止至合同解除之日实施方根据本合同规定业已提供的服务相应的价款，并赔偿由此给实施方造成的直接经济损失。</w:t>
      </w:r>
    </w:p>
    <w:p w14:paraId="7FB9C8C9">
      <w:pPr>
        <w:pStyle w:val="133"/>
        <w:spacing w:line="360" w:lineRule="auto"/>
        <w:rPr>
          <w:rFonts w:hint="eastAsia" w:ascii="宋体" w:hAnsi="宋体" w:cs="宋体"/>
          <w:kern w:val="2"/>
          <w:szCs w:val="21"/>
          <w:highlight w:val="none"/>
        </w:rPr>
      </w:pPr>
      <w:r>
        <w:rPr>
          <w:rFonts w:hint="eastAsia" w:ascii="宋体" w:hAnsi="宋体" w:cs="宋体"/>
          <w:kern w:val="2"/>
          <w:szCs w:val="21"/>
          <w:highlight w:val="none"/>
        </w:rPr>
        <w:t>9.2实施方违约责任</w:t>
      </w:r>
    </w:p>
    <w:p w14:paraId="0177536C">
      <w:pPr>
        <w:pStyle w:val="133"/>
        <w:spacing w:line="360" w:lineRule="auto"/>
        <w:rPr>
          <w:rFonts w:hint="eastAsia" w:ascii="宋体" w:hAnsi="宋体" w:cs="宋体"/>
          <w:kern w:val="2"/>
          <w:szCs w:val="21"/>
          <w:highlight w:val="none"/>
        </w:rPr>
      </w:pPr>
      <w:r>
        <w:rPr>
          <w:rFonts w:hint="eastAsia" w:ascii="宋体" w:hAnsi="宋体" w:cs="宋体"/>
          <w:kern w:val="2"/>
          <w:szCs w:val="21"/>
          <w:highlight w:val="none"/>
        </w:rPr>
        <w:t>9.2.1实施方或其工作人员违反合同约定的保密义务，实施方应承担一切法律后果和责任并支付相当于合同总价10%的违约金，并赔偿损失。</w:t>
      </w:r>
    </w:p>
    <w:p w14:paraId="14EC6B7E">
      <w:pPr>
        <w:pStyle w:val="133"/>
        <w:spacing w:line="360" w:lineRule="auto"/>
        <w:rPr>
          <w:rFonts w:hint="eastAsia" w:ascii="宋体" w:hAnsi="宋体" w:cs="宋体"/>
          <w:kern w:val="2"/>
          <w:szCs w:val="21"/>
          <w:highlight w:val="none"/>
        </w:rPr>
      </w:pPr>
      <w:r>
        <w:rPr>
          <w:rFonts w:hint="eastAsia" w:ascii="宋体" w:hAnsi="宋体" w:cs="宋体"/>
          <w:kern w:val="2"/>
          <w:szCs w:val="21"/>
          <w:highlight w:val="none"/>
        </w:rPr>
        <w:t>9.2.2未经委托方书面同意，实施方中途不得无故更换项目人员，否则从人员中途更换之日起至更正之日止，实施方应向委托方支付相当于合同总价【百分之三】的违约金。</w:t>
      </w:r>
    </w:p>
    <w:p w14:paraId="3D46BF18">
      <w:pPr>
        <w:pStyle w:val="133"/>
        <w:spacing w:line="360" w:lineRule="auto"/>
        <w:rPr>
          <w:rFonts w:hint="eastAsia" w:ascii="宋体" w:hAnsi="宋体" w:cs="宋体"/>
          <w:kern w:val="2"/>
          <w:szCs w:val="21"/>
        </w:rPr>
      </w:pPr>
      <w:r>
        <w:rPr>
          <w:rFonts w:hint="eastAsia" w:ascii="宋体" w:hAnsi="宋体" w:cs="宋体"/>
          <w:kern w:val="2"/>
          <w:szCs w:val="21"/>
        </w:rPr>
        <w:t>9.2.3实施方确保其服务人员所提供的服务及交付的工作成果不侵犯任何第三方的知识产权或其它合法权利，否则由此产生的第三方向委托方索赔的争议或纠纷，均应由实施方负责应对及解决。实施方除应向委托方承担违约责任外，还应承担委托方的所有损失。此种情况下委托方应及时书面通知实施方，实施方聘请的律师有权参与相关事件的调查及诉讼，但实施方聘请律师参与相关事件的调查及诉讼,并不妨碍委托方根据需要聘请代表委托方的律师参与相关的诉讼。实施方承担委托方根据司法判决结果应该承担的相应责任、义务，以及委托因此而支出的包括律师费在内的所有费用。</w:t>
      </w:r>
    </w:p>
    <w:p w14:paraId="5BC873E7">
      <w:pPr>
        <w:pStyle w:val="133"/>
        <w:spacing w:line="360" w:lineRule="auto"/>
        <w:rPr>
          <w:rFonts w:hint="eastAsia" w:ascii="宋体" w:hAnsi="宋体" w:cs="宋体"/>
          <w:kern w:val="2"/>
          <w:szCs w:val="21"/>
        </w:rPr>
      </w:pPr>
      <w:r>
        <w:rPr>
          <w:rFonts w:hint="eastAsia" w:ascii="宋体" w:hAnsi="宋体" w:cs="宋体"/>
          <w:kern w:val="2"/>
          <w:szCs w:val="21"/>
        </w:rPr>
        <w:t>9.3其他</w:t>
      </w:r>
    </w:p>
    <w:p w14:paraId="5D846E7F">
      <w:pPr>
        <w:pStyle w:val="133"/>
        <w:spacing w:line="360" w:lineRule="auto"/>
        <w:rPr>
          <w:rFonts w:hint="eastAsia" w:ascii="宋体" w:hAnsi="宋体" w:cs="宋体"/>
          <w:kern w:val="2"/>
          <w:szCs w:val="21"/>
        </w:rPr>
      </w:pPr>
      <w:r>
        <w:rPr>
          <w:rFonts w:hint="eastAsia" w:ascii="宋体" w:hAnsi="宋体" w:cs="宋体"/>
          <w:kern w:val="2"/>
          <w:szCs w:val="21"/>
        </w:rPr>
        <w:t>9.3.1任何一方在本合同项下支付的各类违约金累计不超过本合同总价的20%。合同一方不对另一方的间接损失承担赔偿责任。</w:t>
      </w:r>
    </w:p>
    <w:p w14:paraId="0D1FE4A7">
      <w:pPr>
        <w:pStyle w:val="133"/>
        <w:spacing w:line="360" w:lineRule="auto"/>
        <w:rPr>
          <w:rFonts w:hint="eastAsia" w:ascii="宋体" w:hAnsi="宋体" w:cs="宋体"/>
          <w:kern w:val="2"/>
          <w:szCs w:val="21"/>
        </w:rPr>
      </w:pPr>
      <w:r>
        <w:rPr>
          <w:rFonts w:hint="eastAsia" w:ascii="宋体" w:hAnsi="宋体" w:cs="宋体"/>
          <w:kern w:val="2"/>
          <w:szCs w:val="21"/>
        </w:rPr>
        <w:t>9.3.2 除非届时适用的法律强制规定另有规定，合同一方对另一方因后者遭受损失或损害而基于本合同提出的全部索赔的总赔偿责任不应超过委托方根据本合同所应当支付的全部价款，而不论责任产生的原因为何，该等原因包括但不限于违约、侵权、错误陈述或违反法定义务。但任何一方不得排除或限制下述情形而对另一方应当承担的责任：（1）对一方的人身伤害（包括死亡）的损害赔偿及对一方有形动产、不动产的损害赔偿依照法律规定赔偿；（2）一方故意或重大过失造成另一方损失的；（3）实施方服务人员侵犯第三方知识产权的责任按本合同知识产权的有关约定执行。也就是说，前述三个情形下，一方对于另一方的赔偿额度上限可以超过委托方根据本合同所应当支付的合同总价。</w:t>
      </w:r>
    </w:p>
    <w:p w14:paraId="27F161B9">
      <w:pPr>
        <w:pStyle w:val="133"/>
        <w:spacing w:line="360" w:lineRule="auto"/>
        <w:rPr>
          <w:rFonts w:hint="eastAsia" w:ascii="宋体" w:hAnsi="宋体" w:cs="宋体"/>
          <w:kern w:val="2"/>
          <w:szCs w:val="21"/>
        </w:rPr>
      </w:pPr>
      <w:r>
        <w:rPr>
          <w:rFonts w:hint="eastAsia" w:ascii="宋体" w:hAnsi="宋体" w:cs="宋体"/>
          <w:kern w:val="2"/>
          <w:szCs w:val="21"/>
        </w:rPr>
        <w:t>9.3.3本合同的违约责任条款独立存在，本合同的变更、解除、终止或部分无效均不影响违约责任条款的效力。</w:t>
      </w:r>
    </w:p>
    <w:p w14:paraId="6CA5429E">
      <w:pPr>
        <w:pStyle w:val="133"/>
        <w:spacing w:line="360" w:lineRule="auto"/>
        <w:rPr>
          <w:rFonts w:hint="eastAsia" w:ascii="宋体" w:hAnsi="宋体" w:cs="宋体"/>
          <w:kern w:val="2"/>
          <w:szCs w:val="21"/>
        </w:rPr>
      </w:pPr>
      <w:r>
        <w:rPr>
          <w:rFonts w:hint="eastAsia" w:ascii="宋体" w:hAnsi="宋体" w:cs="宋体"/>
          <w:kern w:val="2"/>
          <w:szCs w:val="21"/>
        </w:rPr>
        <w:t>10. 税费</w:t>
      </w:r>
    </w:p>
    <w:p w14:paraId="586B39F1">
      <w:pPr>
        <w:pStyle w:val="133"/>
        <w:spacing w:line="360" w:lineRule="auto"/>
        <w:rPr>
          <w:rFonts w:hint="eastAsia" w:ascii="宋体" w:hAnsi="宋体" w:cs="宋体"/>
          <w:kern w:val="2"/>
          <w:szCs w:val="21"/>
        </w:rPr>
      </w:pPr>
      <w:r>
        <w:rPr>
          <w:rFonts w:hint="eastAsia" w:ascii="宋体" w:hAnsi="宋体" w:cs="宋体"/>
          <w:kern w:val="2"/>
          <w:szCs w:val="21"/>
        </w:rPr>
        <w:t>10.1根据国家有关税务的法律、法规和规定,实施方应该缴纳的与本合同有关的税费，由实施方承担。</w:t>
      </w:r>
    </w:p>
    <w:p w14:paraId="53F8EFEE">
      <w:pPr>
        <w:pStyle w:val="133"/>
        <w:spacing w:line="360" w:lineRule="auto"/>
        <w:rPr>
          <w:rFonts w:hint="eastAsia" w:ascii="宋体" w:hAnsi="宋体" w:cs="宋体"/>
          <w:kern w:val="2"/>
          <w:szCs w:val="21"/>
        </w:rPr>
      </w:pPr>
      <w:r>
        <w:rPr>
          <w:rFonts w:hint="eastAsia" w:ascii="宋体" w:hAnsi="宋体" w:cs="宋体"/>
          <w:kern w:val="2"/>
          <w:szCs w:val="21"/>
        </w:rPr>
        <w:t>10.2 本合同价格为含税价。实施方提供的技术资料、实施服务等所有税费已全部包含在合同价格内,由实施方承担。</w:t>
      </w:r>
    </w:p>
    <w:p w14:paraId="360125FD">
      <w:pPr>
        <w:pStyle w:val="133"/>
        <w:spacing w:line="360" w:lineRule="auto"/>
        <w:rPr>
          <w:rFonts w:hint="eastAsia" w:ascii="宋体" w:hAnsi="宋体" w:cs="宋体"/>
          <w:kern w:val="2"/>
          <w:szCs w:val="21"/>
        </w:rPr>
      </w:pPr>
      <w:r>
        <w:rPr>
          <w:rFonts w:hint="eastAsia" w:ascii="宋体" w:hAnsi="宋体" w:cs="宋体"/>
          <w:kern w:val="2"/>
          <w:szCs w:val="21"/>
        </w:rPr>
        <w:t>11. 合同的变更和终止</w:t>
      </w:r>
    </w:p>
    <w:p w14:paraId="15930053">
      <w:pPr>
        <w:pStyle w:val="133"/>
        <w:spacing w:line="360" w:lineRule="auto"/>
        <w:rPr>
          <w:rFonts w:hint="eastAsia" w:ascii="宋体" w:hAnsi="宋体" w:cs="宋体"/>
          <w:kern w:val="2"/>
          <w:szCs w:val="21"/>
        </w:rPr>
      </w:pPr>
      <w:r>
        <w:rPr>
          <w:rFonts w:hint="eastAsia" w:ascii="宋体" w:hAnsi="宋体" w:cs="宋体"/>
          <w:kern w:val="2"/>
          <w:szCs w:val="21"/>
        </w:rPr>
        <w:t>11.1本合同生效后，合同双方均不得擅自对本合同的内容（包括附件）作任何单方的修改。</w:t>
      </w:r>
    </w:p>
    <w:p w14:paraId="2A302FEB">
      <w:pPr>
        <w:pStyle w:val="133"/>
        <w:spacing w:line="360" w:lineRule="auto"/>
        <w:rPr>
          <w:rFonts w:hint="eastAsia" w:ascii="宋体" w:hAnsi="宋体" w:cs="宋体"/>
          <w:kern w:val="2"/>
          <w:szCs w:val="21"/>
        </w:rPr>
      </w:pPr>
      <w:r>
        <w:rPr>
          <w:rFonts w:hint="eastAsia" w:ascii="宋体" w:hAnsi="宋体" w:cs="宋体"/>
          <w:kern w:val="2"/>
          <w:szCs w:val="21"/>
        </w:rPr>
        <w:t>11.2若实施方未经同意更换项目负责人或主要参与人的，或实施方无法提供满足委托方要求的项目参与人员，委托方有权单方面解除本合同，并不承担任何违约责任。</w:t>
      </w:r>
    </w:p>
    <w:p w14:paraId="194520D2">
      <w:pPr>
        <w:pStyle w:val="133"/>
        <w:spacing w:line="360" w:lineRule="auto"/>
        <w:rPr>
          <w:rFonts w:hint="eastAsia" w:ascii="宋体" w:hAnsi="宋体" w:cs="宋体"/>
          <w:kern w:val="2"/>
          <w:szCs w:val="21"/>
        </w:rPr>
      </w:pPr>
      <w:r>
        <w:rPr>
          <w:rFonts w:hint="eastAsia" w:ascii="宋体" w:hAnsi="宋体" w:cs="宋体"/>
          <w:kern w:val="2"/>
          <w:szCs w:val="21"/>
        </w:rPr>
        <w:t>11.3除本合同另有约定外，任何一方不得擅自单方提前终止合同。</w:t>
      </w:r>
    </w:p>
    <w:p w14:paraId="0B8E0D6F">
      <w:pPr>
        <w:pStyle w:val="133"/>
        <w:spacing w:line="360" w:lineRule="auto"/>
        <w:rPr>
          <w:rFonts w:hint="eastAsia" w:ascii="宋体" w:hAnsi="宋体" w:cs="宋体"/>
          <w:kern w:val="2"/>
          <w:szCs w:val="21"/>
        </w:rPr>
      </w:pPr>
      <w:r>
        <w:rPr>
          <w:rFonts w:hint="eastAsia" w:ascii="宋体" w:hAnsi="宋体" w:cs="宋体"/>
          <w:kern w:val="2"/>
          <w:szCs w:val="21"/>
        </w:rPr>
        <w:t>11.4如果实施方破产、产权变更(被兼并、合并、解体、注销</w:t>
      </w:r>
      <w:r>
        <w:rPr>
          <w:rFonts w:hint="eastAsia" w:ascii="宋体" w:hAnsi="宋体" w:cs="宋体"/>
          <w:kern w:val="2"/>
          <w:szCs w:val="21"/>
          <w:lang w:eastAsia="zh-CN"/>
        </w:rPr>
        <w:t>）</w:t>
      </w:r>
      <w:r>
        <w:rPr>
          <w:rFonts w:hint="eastAsia" w:ascii="宋体" w:hAnsi="宋体" w:cs="宋体"/>
          <w:kern w:val="2"/>
          <w:szCs w:val="21"/>
        </w:rPr>
        <w:t>或无偿还能力，或为了债权人的利益在破产管理下经营其业务，委托方有权立即书面通知实施方或破产清算管理人或合同归属人终止合同。</w:t>
      </w:r>
    </w:p>
    <w:p w14:paraId="51648440">
      <w:pPr>
        <w:pStyle w:val="133"/>
        <w:spacing w:line="360" w:lineRule="auto"/>
        <w:rPr>
          <w:rFonts w:hint="eastAsia" w:ascii="宋体" w:hAnsi="宋体" w:cs="宋体"/>
          <w:kern w:val="2"/>
          <w:szCs w:val="21"/>
        </w:rPr>
      </w:pPr>
      <w:r>
        <w:rPr>
          <w:rFonts w:hint="eastAsia" w:ascii="宋体" w:hAnsi="宋体" w:cs="宋体"/>
          <w:kern w:val="2"/>
          <w:szCs w:val="21"/>
        </w:rPr>
        <w:t>12、不可抗力</w:t>
      </w:r>
    </w:p>
    <w:p w14:paraId="23E4B9EC">
      <w:pPr>
        <w:pStyle w:val="133"/>
        <w:spacing w:line="360" w:lineRule="auto"/>
        <w:rPr>
          <w:rFonts w:hint="eastAsia" w:ascii="宋体" w:hAnsi="宋体" w:cs="宋体"/>
          <w:kern w:val="2"/>
          <w:szCs w:val="21"/>
        </w:rPr>
      </w:pPr>
      <w:r>
        <w:rPr>
          <w:rFonts w:hint="eastAsia" w:ascii="宋体" w:hAnsi="宋体" w:cs="宋体"/>
          <w:kern w:val="2"/>
          <w:szCs w:val="21"/>
        </w:rPr>
        <w:t>12.1不可抗力是指：严重的自然灾害和灾难（如台风、洪水、地震、火灾和爆炸等）、战争(不论是否宣战</w:t>
      </w:r>
      <w:r>
        <w:rPr>
          <w:rFonts w:hint="eastAsia" w:ascii="宋体" w:hAnsi="宋体" w:cs="宋体"/>
          <w:kern w:val="2"/>
          <w:szCs w:val="21"/>
          <w:lang w:eastAsia="zh-CN"/>
        </w:rPr>
        <w:t>）</w:t>
      </w:r>
      <w:r>
        <w:rPr>
          <w:rFonts w:hint="eastAsia" w:ascii="宋体" w:hAnsi="宋体" w:cs="宋体"/>
          <w:kern w:val="2"/>
          <w:szCs w:val="21"/>
        </w:rPr>
        <w:t>、叛乱、动乱等等。</w:t>
      </w:r>
    </w:p>
    <w:p w14:paraId="7963F5E7">
      <w:pPr>
        <w:pStyle w:val="133"/>
        <w:spacing w:line="360" w:lineRule="auto"/>
        <w:rPr>
          <w:rFonts w:hint="eastAsia" w:ascii="宋体" w:hAnsi="宋体" w:cs="宋体"/>
          <w:kern w:val="2"/>
          <w:szCs w:val="21"/>
        </w:rPr>
      </w:pPr>
      <w:r>
        <w:rPr>
          <w:rFonts w:hint="eastAsia" w:ascii="宋体" w:hAnsi="宋体" w:cs="宋体"/>
          <w:kern w:val="2"/>
          <w:szCs w:val="21"/>
        </w:rPr>
        <w:t>12.2 合同双方中的任何一方，由于不可抗力事件而影响合同义务的执行时，则延迟履行合同义务的期限相当于不可抗力事件影响的时间，但是不能因为不可抗力的延迟而调整合同价格。</w:t>
      </w:r>
    </w:p>
    <w:p w14:paraId="02B9EE98">
      <w:pPr>
        <w:pStyle w:val="133"/>
        <w:spacing w:line="360" w:lineRule="auto"/>
        <w:rPr>
          <w:rFonts w:hint="eastAsia" w:ascii="宋体" w:hAnsi="宋体" w:cs="宋体"/>
          <w:kern w:val="2"/>
          <w:szCs w:val="21"/>
        </w:rPr>
      </w:pPr>
      <w:r>
        <w:rPr>
          <w:rFonts w:hint="eastAsia" w:ascii="宋体" w:hAnsi="宋体" w:cs="宋体"/>
          <w:kern w:val="2"/>
          <w:szCs w:val="21"/>
        </w:rPr>
        <w:t>12.3 受到不可抗力影响的一方应在不可抗力事故发生后，尽快将所发生的不可抗力事件的情况以传真通知另一方，并在3天内将有关部门出具的证明文件提交给另一方审阅确认，受影响的一方同时应尽量设法缩小这种影响和由此而引起的延误，一旦不可抗力的影响消除后，应将此情况立即通知对方。</w:t>
      </w:r>
    </w:p>
    <w:p w14:paraId="28C86E51">
      <w:pPr>
        <w:pStyle w:val="133"/>
        <w:spacing w:line="360" w:lineRule="auto"/>
        <w:rPr>
          <w:rFonts w:hint="eastAsia" w:ascii="宋体" w:hAnsi="宋体" w:cs="宋体"/>
          <w:kern w:val="2"/>
          <w:szCs w:val="21"/>
        </w:rPr>
      </w:pPr>
      <w:r>
        <w:rPr>
          <w:rFonts w:hint="eastAsia" w:ascii="宋体" w:hAnsi="宋体" w:cs="宋体"/>
          <w:kern w:val="2"/>
          <w:szCs w:val="21"/>
        </w:rPr>
        <w:t>12.4 如双方对不可抗力事件的影响估计将延续到120天以上时，双方应通过友好协商解决本合同的执行问题。</w:t>
      </w:r>
    </w:p>
    <w:p w14:paraId="173D617A">
      <w:pPr>
        <w:pStyle w:val="133"/>
        <w:spacing w:line="360" w:lineRule="auto"/>
        <w:rPr>
          <w:rFonts w:hint="eastAsia" w:ascii="宋体" w:hAnsi="宋体" w:cs="宋体"/>
          <w:kern w:val="2"/>
          <w:szCs w:val="21"/>
        </w:rPr>
      </w:pPr>
      <w:r>
        <w:rPr>
          <w:rFonts w:hint="eastAsia" w:ascii="宋体" w:hAnsi="宋体" w:cs="宋体"/>
          <w:kern w:val="2"/>
          <w:szCs w:val="21"/>
        </w:rPr>
        <w:t>13、合同争议的解决</w:t>
      </w:r>
    </w:p>
    <w:p w14:paraId="0DE13A5A">
      <w:pPr>
        <w:pStyle w:val="133"/>
        <w:spacing w:line="360" w:lineRule="auto"/>
        <w:rPr>
          <w:rFonts w:hint="eastAsia" w:ascii="宋体" w:hAnsi="宋体" w:cs="宋体"/>
          <w:kern w:val="2"/>
          <w:szCs w:val="21"/>
        </w:rPr>
      </w:pPr>
      <w:r>
        <w:rPr>
          <w:rFonts w:hint="eastAsia" w:ascii="宋体" w:hAnsi="宋体" w:cs="宋体"/>
          <w:kern w:val="2"/>
          <w:szCs w:val="21"/>
        </w:rPr>
        <w:t>13.1 凡与本合同有关而引起的一切争议，应首先通过友好协商解决，如经协商后30天内仍不能达成协议时，则任何一方可以将争议提交杭州仲裁委员会按其当时有效的规则进行仲裁。</w:t>
      </w:r>
    </w:p>
    <w:p w14:paraId="01CC442C">
      <w:pPr>
        <w:pStyle w:val="133"/>
        <w:spacing w:line="360" w:lineRule="auto"/>
        <w:rPr>
          <w:rFonts w:hint="eastAsia" w:ascii="宋体" w:hAnsi="宋体" w:cs="宋体"/>
          <w:kern w:val="2"/>
          <w:szCs w:val="21"/>
        </w:rPr>
      </w:pPr>
      <w:r>
        <w:rPr>
          <w:rFonts w:hint="eastAsia" w:ascii="宋体" w:hAnsi="宋体" w:cs="宋体"/>
          <w:kern w:val="2"/>
          <w:szCs w:val="21"/>
        </w:rPr>
        <w:t>13.2 仲裁地点为杭州。</w:t>
      </w:r>
    </w:p>
    <w:p w14:paraId="2E960BAD">
      <w:pPr>
        <w:pStyle w:val="133"/>
        <w:spacing w:line="360" w:lineRule="auto"/>
        <w:rPr>
          <w:rFonts w:hint="eastAsia" w:ascii="宋体" w:hAnsi="宋体" w:cs="宋体"/>
          <w:kern w:val="2"/>
          <w:szCs w:val="21"/>
        </w:rPr>
      </w:pPr>
      <w:r>
        <w:rPr>
          <w:rFonts w:hint="eastAsia" w:ascii="宋体" w:hAnsi="宋体" w:cs="宋体"/>
          <w:kern w:val="2"/>
          <w:szCs w:val="21"/>
        </w:rPr>
        <w:t>13.3 仲裁裁决对双方都有约束力。</w:t>
      </w:r>
    </w:p>
    <w:p w14:paraId="3783E9B0">
      <w:pPr>
        <w:pStyle w:val="133"/>
        <w:spacing w:line="360" w:lineRule="auto"/>
        <w:rPr>
          <w:rFonts w:hint="eastAsia" w:ascii="宋体" w:hAnsi="宋体" w:cs="宋体"/>
          <w:kern w:val="2"/>
          <w:szCs w:val="21"/>
        </w:rPr>
      </w:pPr>
      <w:r>
        <w:rPr>
          <w:rFonts w:hint="eastAsia" w:ascii="宋体" w:hAnsi="宋体" w:cs="宋体"/>
          <w:kern w:val="2"/>
          <w:szCs w:val="21"/>
        </w:rPr>
        <w:t>13.4 由上述过程发生的费用除仲裁裁决另有规定外，应由败诉方承担。</w:t>
      </w:r>
    </w:p>
    <w:p w14:paraId="506B8835">
      <w:pPr>
        <w:pStyle w:val="133"/>
        <w:spacing w:line="360" w:lineRule="auto"/>
        <w:rPr>
          <w:rFonts w:hint="eastAsia" w:ascii="宋体" w:hAnsi="宋体" w:cs="宋体"/>
          <w:kern w:val="2"/>
          <w:szCs w:val="21"/>
        </w:rPr>
      </w:pPr>
      <w:r>
        <w:rPr>
          <w:rFonts w:hint="eastAsia" w:ascii="宋体" w:hAnsi="宋体" w:cs="宋体"/>
          <w:kern w:val="2"/>
          <w:szCs w:val="21"/>
        </w:rPr>
        <w:t>在进行仲裁期间，除提交仲裁的部分合同外，合同仍应继续履行。</w:t>
      </w:r>
    </w:p>
    <w:p w14:paraId="1F8214ED">
      <w:pPr>
        <w:pStyle w:val="133"/>
        <w:spacing w:line="360" w:lineRule="auto"/>
        <w:rPr>
          <w:rFonts w:hint="eastAsia" w:ascii="宋体" w:hAnsi="宋体" w:cs="宋体"/>
          <w:kern w:val="2"/>
          <w:szCs w:val="21"/>
        </w:rPr>
      </w:pPr>
      <w:r>
        <w:rPr>
          <w:rFonts w:hint="eastAsia" w:ascii="宋体" w:hAnsi="宋体" w:cs="宋体"/>
          <w:kern w:val="2"/>
          <w:szCs w:val="21"/>
        </w:rPr>
        <w:t>14. 合同生效</w:t>
      </w:r>
    </w:p>
    <w:p w14:paraId="0C6EBF06">
      <w:pPr>
        <w:pStyle w:val="133"/>
        <w:spacing w:line="360" w:lineRule="auto"/>
        <w:rPr>
          <w:rFonts w:hint="eastAsia" w:ascii="宋体" w:hAnsi="宋体" w:cs="宋体"/>
          <w:kern w:val="2"/>
          <w:szCs w:val="21"/>
        </w:rPr>
      </w:pPr>
      <w:r>
        <w:rPr>
          <w:rFonts w:hint="eastAsia" w:ascii="宋体" w:hAnsi="宋体" w:cs="宋体"/>
          <w:kern w:val="2"/>
          <w:szCs w:val="21"/>
        </w:rPr>
        <w:t>14.1本合同经合同双方法定代表人（或授权代表）签字并加盖公章（或合同专用章）之日起生效。</w:t>
      </w:r>
    </w:p>
    <w:p w14:paraId="23572F35">
      <w:pPr>
        <w:pStyle w:val="133"/>
        <w:spacing w:line="360" w:lineRule="auto"/>
        <w:rPr>
          <w:rFonts w:hint="eastAsia" w:ascii="宋体" w:hAnsi="宋体" w:cs="宋体"/>
          <w:kern w:val="2"/>
          <w:szCs w:val="21"/>
        </w:rPr>
      </w:pPr>
      <w:r>
        <w:rPr>
          <w:rFonts w:hint="eastAsia" w:ascii="宋体" w:hAnsi="宋体" w:cs="宋体"/>
          <w:kern w:val="2"/>
          <w:szCs w:val="21"/>
        </w:rPr>
        <w:t>15.维护服务</w:t>
      </w:r>
    </w:p>
    <w:p w14:paraId="74878692">
      <w:pPr>
        <w:pStyle w:val="133"/>
        <w:spacing w:line="360" w:lineRule="auto"/>
        <w:rPr>
          <w:rFonts w:hint="eastAsia" w:ascii="宋体" w:hAnsi="宋体" w:cs="宋体"/>
          <w:kern w:val="2"/>
          <w:szCs w:val="21"/>
        </w:rPr>
      </w:pPr>
      <w:r>
        <w:rPr>
          <w:rFonts w:hint="eastAsia" w:ascii="宋体" w:hAnsi="宋体" w:cs="宋体"/>
          <w:kern w:val="2"/>
          <w:szCs w:val="21"/>
        </w:rPr>
        <w:t>15.1乙方提供自验收合格之日起两年的质保期。质保期内乙方应根据甲方的要求提供免费技术服务，具体包括软件系统升级、功能完善、故障排除、性能调优、技术咨询、指导和培训等。</w:t>
      </w:r>
    </w:p>
    <w:p w14:paraId="788B34FB">
      <w:pPr>
        <w:pStyle w:val="133"/>
        <w:spacing w:line="360" w:lineRule="auto"/>
        <w:rPr>
          <w:rFonts w:hint="eastAsia" w:ascii="宋体" w:hAnsi="宋体" w:cs="宋体"/>
          <w:kern w:val="2"/>
          <w:szCs w:val="21"/>
        </w:rPr>
      </w:pPr>
      <w:r>
        <w:rPr>
          <w:rFonts w:hint="eastAsia" w:ascii="宋体" w:hAnsi="宋体" w:cs="宋体"/>
          <w:kern w:val="2"/>
          <w:szCs w:val="21"/>
        </w:rPr>
        <w:t>15.2质保期结束后，乙方提供常规运维服务的每年费用为合同总额的8%，其他事项由甲乙双方另行签订维护服务合同约定。</w:t>
      </w:r>
    </w:p>
    <w:p w14:paraId="52633F3B">
      <w:pPr>
        <w:pStyle w:val="133"/>
        <w:spacing w:line="360" w:lineRule="auto"/>
        <w:rPr>
          <w:rFonts w:hint="eastAsia" w:ascii="宋体" w:hAnsi="宋体" w:cs="宋体"/>
          <w:kern w:val="2"/>
          <w:szCs w:val="21"/>
        </w:rPr>
      </w:pPr>
      <w:r>
        <w:rPr>
          <w:rFonts w:hint="eastAsia" w:ascii="宋体" w:hAnsi="宋体" w:cs="宋体"/>
          <w:kern w:val="2"/>
          <w:szCs w:val="21"/>
        </w:rPr>
        <w:t>15.3维护服务内容：乙方应提供7天*24小时服务热线电话支持，根据甲方在运行本系统中发现的问题，做好系统的跟踪维护工作，一般问题在甲方正式提出后1天内解决，不能及时解决的，应采取备用应急方案，以保证甲方系统的正常使用。</w:t>
      </w:r>
    </w:p>
    <w:p w14:paraId="5F3C93A5">
      <w:pPr>
        <w:pStyle w:val="133"/>
        <w:spacing w:line="360" w:lineRule="auto"/>
        <w:rPr>
          <w:rFonts w:hint="eastAsia" w:ascii="宋体" w:hAnsi="宋体" w:cs="宋体"/>
          <w:kern w:val="2"/>
          <w:szCs w:val="21"/>
        </w:rPr>
      </w:pPr>
      <w:r>
        <w:rPr>
          <w:rFonts w:hint="eastAsia" w:ascii="宋体" w:hAnsi="宋体" w:cs="宋体"/>
          <w:kern w:val="2"/>
          <w:szCs w:val="21"/>
        </w:rPr>
        <w:t>16、其它</w:t>
      </w:r>
    </w:p>
    <w:p w14:paraId="4D6DEA14">
      <w:pPr>
        <w:pStyle w:val="133"/>
        <w:spacing w:line="360" w:lineRule="auto"/>
        <w:rPr>
          <w:rFonts w:hint="eastAsia" w:ascii="宋体" w:hAnsi="宋体" w:cs="宋体"/>
          <w:kern w:val="2"/>
          <w:szCs w:val="21"/>
        </w:rPr>
      </w:pPr>
      <w:r>
        <w:rPr>
          <w:rFonts w:hint="eastAsia" w:ascii="宋体" w:hAnsi="宋体" w:cs="宋体"/>
          <w:kern w:val="2"/>
          <w:szCs w:val="21"/>
        </w:rPr>
        <w:t>16.1本合同适用法律为中华人民共和国法律。</w:t>
      </w:r>
    </w:p>
    <w:p w14:paraId="303A8395">
      <w:pPr>
        <w:pStyle w:val="133"/>
        <w:spacing w:line="360" w:lineRule="auto"/>
        <w:rPr>
          <w:rFonts w:hint="eastAsia" w:ascii="宋体" w:hAnsi="宋体" w:cs="宋体"/>
          <w:kern w:val="2"/>
          <w:szCs w:val="21"/>
        </w:rPr>
      </w:pPr>
      <w:r>
        <w:rPr>
          <w:rFonts w:hint="eastAsia" w:ascii="宋体" w:hAnsi="宋体" w:cs="宋体"/>
          <w:kern w:val="2"/>
          <w:szCs w:val="21"/>
        </w:rPr>
        <w:t>16.2本合同所包括的附件，是本合同不可分割的一部分，具有同等的法律效力。如果合同正文与附件有不一致或模糊时，以合同正文为准。</w:t>
      </w:r>
    </w:p>
    <w:p w14:paraId="783B51D1">
      <w:pPr>
        <w:pStyle w:val="133"/>
        <w:spacing w:line="360" w:lineRule="auto"/>
        <w:rPr>
          <w:rFonts w:hint="eastAsia" w:ascii="宋体" w:hAnsi="宋体" w:cs="宋体"/>
          <w:kern w:val="2"/>
          <w:szCs w:val="21"/>
        </w:rPr>
      </w:pPr>
      <w:r>
        <w:rPr>
          <w:rFonts w:hint="eastAsia" w:ascii="宋体" w:hAnsi="宋体" w:cs="宋体"/>
          <w:kern w:val="2"/>
          <w:szCs w:val="21"/>
        </w:rPr>
        <w:t>16.3合同双方应指定一名项目联系人，分别负责联络本合同的技术和商务问题。双方项目联系人的姓名和通讯地址在合同生效的同时通知对方。</w:t>
      </w:r>
    </w:p>
    <w:p w14:paraId="3C6C65AA">
      <w:pPr>
        <w:pStyle w:val="133"/>
        <w:spacing w:line="360" w:lineRule="auto"/>
        <w:rPr>
          <w:rFonts w:hint="eastAsia" w:ascii="宋体" w:hAnsi="宋体" w:cs="宋体"/>
          <w:kern w:val="2"/>
          <w:szCs w:val="21"/>
        </w:rPr>
      </w:pPr>
      <w:r>
        <w:rPr>
          <w:rFonts w:hint="eastAsia" w:ascii="宋体" w:hAnsi="宋体" w:cs="宋体"/>
          <w:kern w:val="2"/>
          <w:szCs w:val="21"/>
        </w:rPr>
        <w:t>16.4本合同以中文编写,合同执行过程中所涉及的相互往来文件、技术资料、说明书、会议纪要、信函等文件均应以中文编写。</w:t>
      </w:r>
    </w:p>
    <w:p w14:paraId="2913429A">
      <w:pPr>
        <w:pStyle w:val="133"/>
        <w:spacing w:line="360" w:lineRule="auto"/>
        <w:rPr>
          <w:rFonts w:hint="eastAsia" w:ascii="宋体" w:hAnsi="宋体" w:cs="宋体"/>
          <w:kern w:val="2"/>
          <w:szCs w:val="21"/>
        </w:rPr>
      </w:pPr>
      <w:r>
        <w:rPr>
          <w:rFonts w:hint="eastAsia" w:ascii="宋体" w:hAnsi="宋体" w:cs="宋体"/>
          <w:kern w:val="2"/>
          <w:szCs w:val="21"/>
        </w:rPr>
        <w:t>16.5本合同正本一式四份，委托方和实施方各执两份，具有同等法律效力。</w:t>
      </w:r>
    </w:p>
    <w:p w14:paraId="7259C57B">
      <w:pPr>
        <w:pStyle w:val="133"/>
        <w:spacing w:line="360" w:lineRule="auto"/>
        <w:rPr>
          <w:rFonts w:hint="eastAsia" w:ascii="宋体" w:hAnsi="宋体" w:cs="宋体"/>
          <w:kern w:val="2"/>
          <w:szCs w:val="21"/>
        </w:rPr>
      </w:pPr>
    </w:p>
    <w:p w14:paraId="6D75B0F3">
      <w:pPr>
        <w:pStyle w:val="133"/>
        <w:spacing w:line="360" w:lineRule="auto"/>
        <w:rPr>
          <w:rFonts w:hint="eastAsia" w:ascii="宋体" w:hAnsi="宋体" w:cs="宋体"/>
          <w:kern w:val="2"/>
          <w:szCs w:val="21"/>
        </w:rPr>
      </w:pPr>
      <w:r>
        <w:rPr>
          <w:rFonts w:hint="eastAsia" w:ascii="宋体" w:hAnsi="宋体" w:cs="宋体"/>
          <w:kern w:val="2"/>
          <w:szCs w:val="21"/>
        </w:rPr>
        <w:t>委托方：浙江省二轻集团有限责任公司（盖章）</w:t>
      </w:r>
      <w:r>
        <w:rPr>
          <w:rFonts w:hint="eastAsia" w:ascii="宋体" w:hAnsi="宋体" w:cs="宋体"/>
          <w:kern w:val="2"/>
          <w:szCs w:val="21"/>
        </w:rPr>
        <w:tab/>
      </w:r>
      <w:r>
        <w:rPr>
          <w:rFonts w:hint="eastAsia" w:ascii="宋体" w:hAnsi="宋体" w:cs="宋体"/>
          <w:kern w:val="2"/>
          <w:szCs w:val="21"/>
        </w:rPr>
        <w:t>实施方：**有限公司（盖章）</w:t>
      </w:r>
    </w:p>
    <w:p w14:paraId="2B69F1C1">
      <w:pPr>
        <w:pStyle w:val="133"/>
        <w:spacing w:line="360" w:lineRule="auto"/>
        <w:rPr>
          <w:rFonts w:hint="eastAsia" w:ascii="宋体" w:hAnsi="宋体" w:cs="宋体"/>
          <w:kern w:val="2"/>
          <w:szCs w:val="21"/>
        </w:rPr>
      </w:pPr>
      <w:r>
        <w:rPr>
          <w:rFonts w:hint="eastAsia" w:ascii="宋体" w:hAnsi="宋体" w:cs="宋体"/>
          <w:kern w:val="2"/>
          <w:szCs w:val="21"/>
        </w:rPr>
        <w:t>法定代表人或授权代表（签字）：</w:t>
      </w:r>
      <w:r>
        <w:rPr>
          <w:rFonts w:hint="eastAsia" w:ascii="宋体" w:hAnsi="宋体" w:cs="宋体"/>
          <w:kern w:val="2"/>
          <w:szCs w:val="21"/>
        </w:rPr>
        <w:tab/>
      </w:r>
      <w:r>
        <w:rPr>
          <w:rFonts w:hint="eastAsia" w:ascii="宋体" w:hAnsi="宋体" w:cs="宋体"/>
          <w:kern w:val="2"/>
          <w:szCs w:val="21"/>
        </w:rPr>
        <w:t xml:space="preserve">                法定代表人或授权代表（签字）：</w:t>
      </w:r>
    </w:p>
    <w:p w14:paraId="46066764">
      <w:pPr>
        <w:pStyle w:val="133"/>
        <w:spacing w:line="360" w:lineRule="auto"/>
        <w:rPr>
          <w:rFonts w:hint="eastAsia" w:ascii="宋体" w:hAnsi="宋体" w:cs="宋体"/>
          <w:kern w:val="2"/>
          <w:szCs w:val="21"/>
        </w:rPr>
      </w:pPr>
      <w:r>
        <w:rPr>
          <w:rFonts w:hint="eastAsia" w:ascii="宋体" w:hAnsi="宋体" w:cs="宋体"/>
          <w:kern w:val="2"/>
          <w:szCs w:val="21"/>
        </w:rPr>
        <w:t>签字日期：____年__月__日</w:t>
      </w:r>
      <w:r>
        <w:rPr>
          <w:rFonts w:hint="eastAsia" w:ascii="宋体" w:hAnsi="宋体" w:cs="宋体"/>
          <w:kern w:val="2"/>
          <w:szCs w:val="21"/>
        </w:rPr>
        <w:tab/>
      </w:r>
      <w:r>
        <w:rPr>
          <w:rFonts w:hint="eastAsia" w:ascii="宋体" w:hAnsi="宋体" w:cs="宋体"/>
          <w:kern w:val="2"/>
          <w:szCs w:val="21"/>
        </w:rPr>
        <w:t xml:space="preserve">                    签字日期：____年__月__日</w:t>
      </w:r>
    </w:p>
    <w:p w14:paraId="75BCF14E">
      <w:pPr>
        <w:rPr>
          <w:rFonts w:hint="eastAsia" w:ascii="宋体" w:hAnsi="宋体" w:cs="宋体"/>
        </w:rPr>
      </w:pPr>
    </w:p>
    <w:p w14:paraId="4128C989">
      <w:pPr>
        <w:rPr>
          <w:rFonts w:hint="eastAsia" w:ascii="宋体" w:hAnsi="宋体" w:cs="宋体"/>
        </w:rPr>
      </w:pPr>
    </w:p>
    <w:p w14:paraId="3AB70DD4">
      <w:pPr>
        <w:rPr>
          <w:rFonts w:hint="eastAsia" w:ascii="宋体" w:hAnsi="宋体" w:cs="宋体"/>
          <w:color w:val="auto"/>
        </w:rPr>
      </w:pPr>
      <w:r>
        <w:rPr>
          <w:rFonts w:hint="eastAsia" w:ascii="宋体" w:hAnsi="宋体" w:cs="宋体"/>
          <w:color w:val="auto"/>
        </w:rPr>
        <w:br w:type="page"/>
      </w:r>
    </w:p>
    <w:p w14:paraId="0F32C98F">
      <w:pPr>
        <w:pStyle w:val="3"/>
        <w:rPr>
          <w:rFonts w:hint="eastAsia" w:ascii="宋体" w:hAnsi="宋体" w:cs="宋体"/>
          <w:color w:val="auto"/>
        </w:rPr>
      </w:pPr>
      <w:bookmarkStart w:id="48" w:name="_Toc12075"/>
      <w:r>
        <w:rPr>
          <w:rFonts w:hint="eastAsia" w:ascii="宋体" w:hAnsi="宋体" w:cs="宋体"/>
          <w:color w:val="auto"/>
        </w:rPr>
        <w:t>第六章  投标文件格式</w:t>
      </w:r>
      <w:bookmarkEnd w:id="45"/>
      <w:bookmarkEnd w:id="46"/>
      <w:bookmarkEnd w:id="47"/>
      <w:bookmarkEnd w:id="48"/>
    </w:p>
    <w:p w14:paraId="5729A750">
      <w:pPr>
        <w:spacing w:line="360" w:lineRule="auto"/>
        <w:jc w:val="center"/>
        <w:rPr>
          <w:rFonts w:hint="eastAsia" w:ascii="宋体" w:hAnsi="宋体" w:cs="宋体"/>
        </w:rPr>
      </w:pPr>
      <w:r>
        <w:rPr>
          <w:rFonts w:hint="eastAsia" w:ascii="宋体" w:hAnsi="宋体" w:cs="宋体"/>
        </w:rPr>
        <w:t>（未提供格式的由投标人自拟）</w:t>
      </w:r>
    </w:p>
    <w:p w14:paraId="60E0F6D2">
      <w:pPr>
        <w:pStyle w:val="2"/>
        <w:ind w:firstLine="422"/>
        <w:rPr>
          <w:rFonts w:hint="eastAsia" w:ascii="宋体" w:hAnsi="宋体" w:cs="宋体"/>
        </w:rPr>
      </w:pPr>
      <w:bookmarkStart w:id="49" w:name="_Toc345575534"/>
      <w:bookmarkStart w:id="50" w:name="_Toc437953145"/>
      <w:r>
        <w:rPr>
          <w:rFonts w:hint="eastAsia" w:ascii="宋体" w:hAnsi="宋体" w:cs="宋体"/>
        </w:rPr>
        <w:t>报价文件封面</w:t>
      </w:r>
      <w:bookmarkEnd w:id="49"/>
      <w:bookmarkEnd w:id="50"/>
    </w:p>
    <w:p w14:paraId="37819F89">
      <w:pPr>
        <w:tabs>
          <w:tab w:val="left" w:pos="2580"/>
          <w:tab w:val="left" w:pos="5940"/>
        </w:tabs>
        <w:autoSpaceDE w:val="0"/>
        <w:autoSpaceDN w:val="0"/>
        <w:adjustRightInd w:val="0"/>
        <w:spacing w:line="360" w:lineRule="auto"/>
        <w:ind w:right="-20"/>
        <w:rPr>
          <w:rFonts w:hint="eastAsia" w:ascii="宋体" w:hAnsi="宋体" w:cs="宋体"/>
          <w:kern w:val="0"/>
          <w:sz w:val="28"/>
        </w:rPr>
      </w:pPr>
    </w:p>
    <w:p w14:paraId="04D37563">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kern w:val="0"/>
          <w:sz w:val="28"/>
          <w:u w:val="single"/>
        </w:rPr>
      </w:pPr>
      <w:r>
        <w:rPr>
          <w:rFonts w:hint="eastAsia" w:ascii="宋体" w:hAnsi="宋体" w:cs="宋体"/>
          <w:kern w:val="0"/>
          <w:sz w:val="28"/>
        </w:rPr>
        <w:t>项目名称：</w:t>
      </w:r>
      <w:r>
        <w:rPr>
          <w:rFonts w:hint="eastAsia" w:ascii="宋体" w:hAnsi="宋体" w:cs="宋体"/>
          <w:kern w:val="0"/>
          <w:sz w:val="28"/>
          <w:u w:val="single"/>
        </w:rPr>
        <w:t xml:space="preserve">                                         </w:t>
      </w:r>
    </w:p>
    <w:p w14:paraId="1C2C4D89">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kern w:val="0"/>
          <w:sz w:val="28"/>
          <w:u w:val="single"/>
        </w:rPr>
      </w:pPr>
      <w:r>
        <w:rPr>
          <w:rFonts w:hint="eastAsia" w:ascii="宋体" w:hAnsi="宋体" w:cs="宋体"/>
          <w:kern w:val="0"/>
          <w:sz w:val="28"/>
        </w:rPr>
        <w:t>招标项目编号：</w:t>
      </w:r>
      <w:r>
        <w:rPr>
          <w:rFonts w:hint="eastAsia" w:ascii="宋体" w:hAnsi="宋体" w:cs="宋体"/>
          <w:kern w:val="0"/>
          <w:sz w:val="28"/>
          <w:u w:val="single"/>
        </w:rPr>
        <w:t xml:space="preserve">                                     </w:t>
      </w:r>
    </w:p>
    <w:p w14:paraId="46923B37">
      <w:pPr>
        <w:autoSpaceDE w:val="0"/>
        <w:autoSpaceDN w:val="0"/>
        <w:adjustRightInd w:val="0"/>
        <w:snapToGrid w:val="0"/>
        <w:spacing w:line="360" w:lineRule="auto"/>
        <w:jc w:val="left"/>
        <w:rPr>
          <w:rFonts w:hint="eastAsia" w:ascii="宋体" w:hAnsi="宋体" w:cs="宋体"/>
          <w:kern w:val="0"/>
          <w:sz w:val="24"/>
        </w:rPr>
      </w:pPr>
    </w:p>
    <w:p w14:paraId="2F2FE8D3">
      <w:pPr>
        <w:autoSpaceDE w:val="0"/>
        <w:autoSpaceDN w:val="0"/>
        <w:adjustRightInd w:val="0"/>
        <w:snapToGrid w:val="0"/>
        <w:spacing w:line="360" w:lineRule="auto"/>
        <w:jc w:val="left"/>
        <w:rPr>
          <w:rFonts w:hint="eastAsia" w:ascii="宋体" w:hAnsi="宋体" w:cs="宋体"/>
          <w:kern w:val="0"/>
          <w:sz w:val="24"/>
        </w:rPr>
      </w:pPr>
    </w:p>
    <w:p w14:paraId="797CD543">
      <w:pPr>
        <w:autoSpaceDE w:val="0"/>
        <w:autoSpaceDN w:val="0"/>
        <w:adjustRightInd w:val="0"/>
        <w:snapToGrid w:val="0"/>
        <w:spacing w:line="360" w:lineRule="auto"/>
        <w:jc w:val="left"/>
        <w:rPr>
          <w:rFonts w:hint="eastAsia" w:ascii="宋体" w:hAnsi="宋体" w:cs="宋体"/>
          <w:kern w:val="0"/>
          <w:sz w:val="24"/>
        </w:rPr>
      </w:pPr>
    </w:p>
    <w:p w14:paraId="1B3E2B36">
      <w:pPr>
        <w:autoSpaceDE w:val="0"/>
        <w:autoSpaceDN w:val="0"/>
        <w:adjustRightInd w:val="0"/>
        <w:snapToGrid w:val="0"/>
        <w:spacing w:line="360" w:lineRule="auto"/>
        <w:jc w:val="left"/>
        <w:rPr>
          <w:rFonts w:hint="eastAsia" w:ascii="宋体" w:hAnsi="宋体" w:cs="宋体"/>
          <w:kern w:val="0"/>
          <w:sz w:val="24"/>
        </w:rPr>
      </w:pPr>
    </w:p>
    <w:p w14:paraId="29388C13">
      <w:pPr>
        <w:tabs>
          <w:tab w:val="left" w:pos="1805"/>
          <w:tab w:val="left" w:pos="5360"/>
        </w:tabs>
        <w:autoSpaceDE w:val="0"/>
        <w:autoSpaceDN w:val="0"/>
        <w:adjustRightInd w:val="0"/>
        <w:snapToGrid w:val="0"/>
        <w:spacing w:line="360" w:lineRule="auto"/>
        <w:ind w:right="-20"/>
        <w:jc w:val="center"/>
        <w:rPr>
          <w:rFonts w:hint="eastAsia" w:ascii="宋体" w:hAnsi="宋体" w:cs="宋体"/>
          <w:kern w:val="0"/>
          <w:sz w:val="72"/>
        </w:rPr>
      </w:pPr>
      <w:r>
        <w:rPr>
          <w:rFonts w:hint="eastAsia" w:ascii="宋体" w:hAnsi="宋体" w:cs="宋体"/>
          <w:kern w:val="0"/>
          <w:sz w:val="72"/>
        </w:rPr>
        <w:t>投 标 文 件</w:t>
      </w:r>
    </w:p>
    <w:p w14:paraId="620F2D6A">
      <w:pPr>
        <w:tabs>
          <w:tab w:val="left" w:pos="1805"/>
          <w:tab w:val="left" w:pos="5360"/>
        </w:tabs>
        <w:autoSpaceDE w:val="0"/>
        <w:autoSpaceDN w:val="0"/>
        <w:adjustRightInd w:val="0"/>
        <w:snapToGrid w:val="0"/>
        <w:spacing w:line="360" w:lineRule="auto"/>
        <w:ind w:right="-20"/>
        <w:jc w:val="center"/>
        <w:rPr>
          <w:rFonts w:hint="eastAsia" w:ascii="宋体" w:hAnsi="宋体" w:cs="宋体"/>
          <w:kern w:val="0"/>
          <w:sz w:val="72"/>
        </w:rPr>
      </w:pPr>
      <w:r>
        <w:rPr>
          <w:rFonts w:hint="eastAsia" w:ascii="宋体" w:hAnsi="宋体" w:cs="宋体"/>
          <w:kern w:val="0"/>
          <w:sz w:val="72"/>
        </w:rPr>
        <w:t>（报价文件）</w:t>
      </w:r>
    </w:p>
    <w:p w14:paraId="4A4FD29B">
      <w:pPr>
        <w:autoSpaceDE w:val="0"/>
        <w:autoSpaceDN w:val="0"/>
        <w:adjustRightInd w:val="0"/>
        <w:snapToGrid w:val="0"/>
        <w:spacing w:line="360" w:lineRule="auto"/>
        <w:jc w:val="left"/>
        <w:rPr>
          <w:rFonts w:hint="eastAsia" w:ascii="宋体" w:hAnsi="宋体" w:cs="宋体"/>
          <w:kern w:val="0"/>
          <w:sz w:val="16"/>
        </w:rPr>
      </w:pPr>
    </w:p>
    <w:p w14:paraId="6443B2EE">
      <w:pPr>
        <w:autoSpaceDE w:val="0"/>
        <w:autoSpaceDN w:val="0"/>
        <w:adjustRightInd w:val="0"/>
        <w:snapToGrid w:val="0"/>
        <w:spacing w:line="360" w:lineRule="auto"/>
        <w:jc w:val="left"/>
        <w:rPr>
          <w:rFonts w:hint="eastAsia" w:ascii="宋体" w:hAnsi="宋体" w:cs="宋体"/>
          <w:kern w:val="0"/>
          <w:sz w:val="20"/>
        </w:rPr>
      </w:pPr>
    </w:p>
    <w:p w14:paraId="15EED067">
      <w:pPr>
        <w:autoSpaceDE w:val="0"/>
        <w:autoSpaceDN w:val="0"/>
        <w:adjustRightInd w:val="0"/>
        <w:snapToGrid w:val="0"/>
        <w:spacing w:line="360" w:lineRule="auto"/>
        <w:jc w:val="left"/>
        <w:rPr>
          <w:rFonts w:hint="eastAsia" w:ascii="宋体" w:hAnsi="宋体" w:cs="宋体"/>
          <w:kern w:val="0"/>
          <w:sz w:val="20"/>
        </w:rPr>
      </w:pPr>
    </w:p>
    <w:p w14:paraId="2F344DBF">
      <w:pPr>
        <w:autoSpaceDE w:val="0"/>
        <w:autoSpaceDN w:val="0"/>
        <w:adjustRightInd w:val="0"/>
        <w:snapToGrid w:val="0"/>
        <w:spacing w:line="360" w:lineRule="auto"/>
        <w:jc w:val="left"/>
        <w:rPr>
          <w:rFonts w:hint="eastAsia" w:ascii="宋体" w:hAnsi="宋体" w:cs="宋体"/>
          <w:kern w:val="0"/>
          <w:sz w:val="20"/>
        </w:rPr>
      </w:pPr>
    </w:p>
    <w:p w14:paraId="5A1A4AE6">
      <w:pPr>
        <w:autoSpaceDE w:val="0"/>
        <w:autoSpaceDN w:val="0"/>
        <w:adjustRightInd w:val="0"/>
        <w:snapToGrid w:val="0"/>
        <w:spacing w:line="360" w:lineRule="auto"/>
        <w:jc w:val="left"/>
        <w:rPr>
          <w:rFonts w:hint="eastAsia" w:ascii="宋体" w:hAnsi="宋体" w:cs="宋体"/>
          <w:kern w:val="0"/>
          <w:sz w:val="20"/>
        </w:rPr>
      </w:pPr>
    </w:p>
    <w:p w14:paraId="3ECD3375">
      <w:pPr>
        <w:tabs>
          <w:tab w:val="left" w:pos="6080"/>
          <w:tab w:val="left" w:pos="6640"/>
        </w:tabs>
        <w:autoSpaceDE w:val="0"/>
        <w:autoSpaceDN w:val="0"/>
        <w:adjustRightInd w:val="0"/>
        <w:snapToGrid w:val="0"/>
        <w:spacing w:line="360" w:lineRule="auto"/>
        <w:ind w:left="774" w:right="403"/>
        <w:jc w:val="left"/>
        <w:rPr>
          <w:rFonts w:hint="eastAsia" w:ascii="宋体" w:hAnsi="宋体" w:cs="宋体"/>
          <w:kern w:val="0"/>
          <w:sz w:val="28"/>
        </w:rPr>
      </w:pPr>
      <w:r>
        <w:rPr>
          <w:rFonts w:hint="eastAsia" w:ascii="宋体" w:hAnsi="宋体" w:cs="宋体"/>
          <w:kern w:val="0"/>
          <w:sz w:val="28"/>
        </w:rPr>
        <w:t>投标人：</w:t>
      </w:r>
      <w:r>
        <w:rPr>
          <w:rFonts w:hint="eastAsia" w:ascii="宋体" w:hAnsi="宋体" w:cs="宋体"/>
          <w:kern w:val="0"/>
          <w:sz w:val="28"/>
          <w:u w:val="single"/>
        </w:rPr>
        <w:t xml:space="preserve">                          </w:t>
      </w:r>
      <w:r>
        <w:rPr>
          <w:rFonts w:hint="eastAsia" w:ascii="宋体" w:hAnsi="宋体" w:cs="宋体"/>
          <w:kern w:val="0"/>
          <w:sz w:val="28"/>
        </w:rPr>
        <w:t>（盖单位公章）</w:t>
      </w:r>
    </w:p>
    <w:p w14:paraId="5315E76F">
      <w:pPr>
        <w:tabs>
          <w:tab w:val="left" w:pos="6080"/>
          <w:tab w:val="left" w:pos="6640"/>
        </w:tabs>
        <w:autoSpaceDE w:val="0"/>
        <w:autoSpaceDN w:val="0"/>
        <w:adjustRightInd w:val="0"/>
        <w:snapToGrid w:val="0"/>
        <w:spacing w:line="360" w:lineRule="auto"/>
        <w:ind w:left="774" w:right="403"/>
        <w:jc w:val="left"/>
        <w:rPr>
          <w:rFonts w:hint="eastAsia" w:ascii="宋体" w:hAnsi="宋体" w:cs="宋体"/>
          <w:kern w:val="0"/>
          <w:sz w:val="28"/>
        </w:rPr>
      </w:pPr>
    </w:p>
    <w:p w14:paraId="7AE12184">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eastAsia" w:ascii="宋体" w:hAnsi="宋体" w:cs="宋体"/>
          <w:kern w:val="0"/>
          <w:sz w:val="28"/>
        </w:rPr>
      </w:pPr>
      <w:r>
        <w:rPr>
          <w:rFonts w:hint="eastAsia" w:ascii="宋体" w:hAnsi="宋体" w:cs="宋体"/>
          <w:kern w:val="0"/>
          <w:sz w:val="28"/>
          <w:u w:val="single"/>
        </w:rPr>
        <w:t xml:space="preserve">      </w:t>
      </w:r>
      <w:r>
        <w:rPr>
          <w:rFonts w:hint="eastAsia" w:ascii="宋体" w:hAnsi="宋体" w:cs="宋体"/>
          <w:kern w:val="0"/>
          <w:sz w:val="28"/>
        </w:rPr>
        <w:t>年</w:t>
      </w:r>
      <w:r>
        <w:rPr>
          <w:rFonts w:hint="eastAsia" w:ascii="宋体" w:hAnsi="宋体" w:cs="宋体"/>
          <w:kern w:val="0"/>
          <w:sz w:val="28"/>
          <w:u w:val="single"/>
        </w:rPr>
        <w:t xml:space="preserve">   </w:t>
      </w:r>
      <w:r>
        <w:rPr>
          <w:rFonts w:hint="eastAsia" w:ascii="宋体" w:hAnsi="宋体" w:cs="宋体"/>
          <w:kern w:val="0"/>
          <w:sz w:val="28"/>
        </w:rPr>
        <w:t>月</w:t>
      </w:r>
      <w:r>
        <w:rPr>
          <w:rFonts w:hint="eastAsia" w:ascii="宋体" w:hAnsi="宋体" w:cs="宋体"/>
          <w:kern w:val="0"/>
          <w:sz w:val="28"/>
          <w:u w:val="single"/>
        </w:rPr>
        <w:t xml:space="preserve">   </w:t>
      </w:r>
      <w:r>
        <w:rPr>
          <w:rFonts w:hint="eastAsia" w:ascii="宋体" w:hAnsi="宋体" w:cs="宋体"/>
          <w:kern w:val="0"/>
          <w:sz w:val="28"/>
        </w:rPr>
        <w:t>日</w:t>
      </w:r>
    </w:p>
    <w:p w14:paraId="6EEEF939">
      <w:pPr>
        <w:pStyle w:val="2"/>
        <w:ind w:firstLine="422"/>
        <w:rPr>
          <w:rFonts w:hint="eastAsia" w:ascii="宋体" w:hAnsi="宋体" w:cs="宋体"/>
        </w:rPr>
      </w:pPr>
      <w:bookmarkStart w:id="51" w:name="_Toc345575538"/>
      <w:bookmarkStart w:id="52" w:name="_Toc336683578"/>
      <w:r>
        <w:rPr>
          <w:rFonts w:hint="eastAsia" w:ascii="宋体" w:hAnsi="宋体" w:cs="宋体"/>
        </w:rPr>
        <w:br w:type="page"/>
      </w:r>
      <w:r>
        <w:rPr>
          <w:rFonts w:hint="eastAsia" w:ascii="宋体" w:hAnsi="宋体" w:cs="宋体"/>
        </w:rPr>
        <w:t>一、投标函格式</w:t>
      </w:r>
      <w:bookmarkEnd w:id="51"/>
      <w:bookmarkEnd w:id="52"/>
      <w:r>
        <w:rPr>
          <w:rFonts w:hint="eastAsia" w:ascii="宋体" w:hAnsi="宋体" w:cs="宋体"/>
        </w:rPr>
        <w:t xml:space="preserve"> </w:t>
      </w:r>
    </w:p>
    <w:p w14:paraId="30D2CCF8">
      <w:pPr>
        <w:spacing w:line="360" w:lineRule="auto"/>
        <w:jc w:val="center"/>
        <w:rPr>
          <w:rFonts w:hint="eastAsia" w:ascii="宋体" w:hAnsi="宋体" w:cs="宋体"/>
          <w:b/>
          <w:bCs/>
          <w:sz w:val="32"/>
          <w:szCs w:val="32"/>
        </w:rPr>
      </w:pPr>
      <w:r>
        <w:rPr>
          <w:rFonts w:hint="eastAsia" w:ascii="宋体" w:hAnsi="宋体" w:cs="宋体"/>
          <w:b/>
          <w:bCs/>
          <w:sz w:val="32"/>
          <w:szCs w:val="32"/>
        </w:rPr>
        <w:t>投标函</w:t>
      </w:r>
    </w:p>
    <w:p w14:paraId="4651FB28">
      <w:pPr>
        <w:pStyle w:val="18"/>
        <w:adjustRightInd w:val="0"/>
        <w:snapToGrid w:val="0"/>
        <w:spacing w:line="360" w:lineRule="auto"/>
        <w:rPr>
          <w:rFonts w:hint="eastAsia" w:hAnsi="宋体" w:cs="宋体"/>
        </w:rPr>
      </w:pPr>
      <w:r>
        <w:rPr>
          <w:rFonts w:hint="eastAsia" w:hAnsi="宋体" w:cs="宋体"/>
          <w:u w:val="single"/>
        </w:rPr>
        <w:t>（招标人单位名称）</w:t>
      </w:r>
      <w:r>
        <w:rPr>
          <w:rFonts w:hint="eastAsia" w:hAnsi="宋体" w:cs="宋体"/>
        </w:rPr>
        <w:t>：</w:t>
      </w:r>
    </w:p>
    <w:p w14:paraId="0C5205F4">
      <w:pPr>
        <w:pStyle w:val="18"/>
        <w:adjustRightInd w:val="0"/>
        <w:snapToGrid w:val="0"/>
        <w:spacing w:line="360" w:lineRule="auto"/>
        <w:rPr>
          <w:rFonts w:hint="eastAsia" w:hAnsi="宋体" w:cs="宋体"/>
        </w:rPr>
      </w:pPr>
      <w:r>
        <w:rPr>
          <w:rFonts w:hint="eastAsia" w:hAnsi="宋体" w:cs="宋体"/>
          <w:u w:val="single"/>
        </w:rPr>
        <w:t>浙江省成套招标代理有限公司</w:t>
      </w:r>
      <w:r>
        <w:rPr>
          <w:rFonts w:hint="eastAsia" w:hAnsi="宋体" w:cs="宋体"/>
        </w:rPr>
        <w:t>：</w:t>
      </w:r>
    </w:p>
    <w:p w14:paraId="27BCAECB">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u w:val="single"/>
          <w:lang w:val="en-US" w:eastAsia="zh-CN"/>
        </w:rPr>
        <w:t xml:space="preserve">                 </w:t>
      </w:r>
      <w:r>
        <w:rPr>
          <w:rFonts w:hint="eastAsia" w:ascii="宋体" w:hAnsi="宋体" w:cs="宋体"/>
          <w:b w:val="0"/>
          <w:bCs w:val="0"/>
          <w:szCs w:val="21"/>
          <w:lang w:val="en-US" w:eastAsia="zh-CN"/>
        </w:rPr>
        <w:t xml:space="preserve">（投标人全称）参加贵方组织的 </w:t>
      </w:r>
      <w:r>
        <w:rPr>
          <w:rFonts w:hint="eastAsia" w:ascii="宋体" w:hAnsi="宋体" w:cs="宋体"/>
          <w:b w:val="0"/>
          <w:bCs w:val="0"/>
          <w:szCs w:val="21"/>
          <w:u w:val="single"/>
          <w:lang w:val="en-US" w:eastAsia="zh-CN"/>
        </w:rPr>
        <w:t xml:space="preserve">            </w:t>
      </w:r>
      <w:r>
        <w:rPr>
          <w:rFonts w:hint="eastAsia" w:ascii="宋体" w:hAnsi="宋体" w:cs="宋体"/>
          <w:b w:val="0"/>
          <w:bCs w:val="0"/>
          <w:szCs w:val="21"/>
          <w:lang w:val="en-US" w:eastAsia="zh-CN"/>
        </w:rPr>
        <w:t>（项目名称）               （招标项目编号）招标的有关活动，并对本项目进行投标。为此我方：</w:t>
      </w:r>
    </w:p>
    <w:p w14:paraId="3F5F42D8">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1、承诺在投标人须知规定的投标截止日起遵守本投标文件中的承诺，且在投标有效期满之前均具有约束力。本投标文件的有效期为自投标截止时间起90天。</w:t>
      </w:r>
    </w:p>
    <w:p w14:paraId="3935F3C8">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2、承诺已经具备招标文件中规定的参加招标活动的投标人应当具备的条件。</w:t>
      </w:r>
    </w:p>
    <w:p w14:paraId="0777C1FC">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3、已详细审核全部招标文件，包括招标文件补充（如果有）、参考资料及有关附件，确认无误。</w:t>
      </w:r>
    </w:p>
    <w:p w14:paraId="6D503D6B">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4、提供投标人须知规定的全部投标文件。</w:t>
      </w:r>
    </w:p>
    <w:p w14:paraId="092704B2">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5、投标报价详见《开标一览表》。</w:t>
      </w:r>
    </w:p>
    <w:p w14:paraId="31D5AE04">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6、保证遵守招标文件中的其他有关规定。</w:t>
      </w:r>
    </w:p>
    <w:p w14:paraId="2F9D0FE2">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7、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2D554D03">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8、保证忠实地执行双方所签订的合同，并承担合同规定的责任和义务。</w:t>
      </w:r>
    </w:p>
    <w:p w14:paraId="12FA9370">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9、承诺，招标过程中不存在以下行为：</w:t>
      </w:r>
    </w:p>
    <w:p w14:paraId="5A1927CE">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 xml:space="preserve">（一）提供虚假材料谋取中标、成交的； </w:t>
      </w:r>
    </w:p>
    <w:p w14:paraId="22E12000">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 xml:space="preserve">（二）采取不正当手段诋毁、排挤其他投标人的； </w:t>
      </w:r>
    </w:p>
    <w:p w14:paraId="2A86AE43">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 xml:space="preserve">（三）与招标人、其他投标人或者招标代理机构恶意串通的； </w:t>
      </w:r>
    </w:p>
    <w:p w14:paraId="7310A82B">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 xml:space="preserve">（四）向招标人、招标代理机构行贿或者提供其他不正当利益的； </w:t>
      </w:r>
    </w:p>
    <w:p w14:paraId="2265F293">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 xml:space="preserve">（五）在招标过程中与招标人进行协商谈判的； </w:t>
      </w:r>
    </w:p>
    <w:p w14:paraId="0CD4A1E6">
      <w:pPr>
        <w:spacing w:after="0"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（六）拒绝有关部门监督检查或者提供虚假情况的。</w:t>
      </w:r>
    </w:p>
    <w:p w14:paraId="6D7824F9">
      <w:pPr>
        <w:pStyle w:val="18"/>
        <w:adjustRightInd w:val="0"/>
        <w:snapToGrid w:val="0"/>
        <w:spacing w:line="360" w:lineRule="auto"/>
        <w:ind w:firstLine="480"/>
        <w:rPr>
          <w:rFonts w:hint="eastAsia" w:hAnsi="宋体" w:cs="宋体"/>
        </w:rPr>
      </w:pPr>
    </w:p>
    <w:p w14:paraId="4C8B0929">
      <w:pPr>
        <w:pStyle w:val="18"/>
        <w:adjustRightInd w:val="0"/>
        <w:snapToGrid w:val="0"/>
        <w:spacing w:line="360" w:lineRule="auto"/>
        <w:ind w:firstLine="480"/>
        <w:rPr>
          <w:rFonts w:hint="eastAsia" w:hAnsi="宋体" w:cs="宋体"/>
          <w:u w:val="single"/>
        </w:rPr>
      </w:pPr>
      <w:r>
        <w:rPr>
          <w:rFonts w:hint="eastAsia" w:hAnsi="宋体" w:cs="宋体"/>
        </w:rPr>
        <w:t>投标人全称（盖单位公章）：</w:t>
      </w:r>
      <w:r>
        <w:rPr>
          <w:rFonts w:hint="eastAsia" w:hAnsi="宋体" w:cs="宋体"/>
          <w:u w:val="single"/>
        </w:rPr>
        <w:t xml:space="preserve">             </w:t>
      </w:r>
    </w:p>
    <w:p w14:paraId="54FAF749">
      <w:pPr>
        <w:pStyle w:val="18"/>
        <w:adjustRightInd w:val="0"/>
        <w:snapToGrid w:val="0"/>
        <w:spacing w:line="360" w:lineRule="auto"/>
        <w:ind w:firstLine="480"/>
        <w:rPr>
          <w:rFonts w:hint="eastAsia" w:hAnsi="宋体" w:cs="宋体"/>
          <w:u w:val="single"/>
        </w:rPr>
      </w:pPr>
      <w:r>
        <w:rPr>
          <w:rFonts w:hint="eastAsia" w:hAnsi="宋体" w:cs="宋体"/>
        </w:rPr>
        <w:t>日期：</w:t>
      </w:r>
      <w:r>
        <w:rPr>
          <w:rFonts w:hint="eastAsia" w:hAnsi="宋体" w:cs="宋体"/>
          <w:kern w:val="0"/>
          <w:szCs w:val="21"/>
        </w:rPr>
        <w:t xml:space="preserve">   年  月  日</w:t>
      </w:r>
    </w:p>
    <w:p w14:paraId="3F876633">
      <w:pPr>
        <w:pStyle w:val="18"/>
        <w:adjustRightInd w:val="0"/>
        <w:snapToGrid w:val="0"/>
        <w:spacing w:line="360" w:lineRule="auto"/>
        <w:ind w:firstLine="480"/>
        <w:rPr>
          <w:rFonts w:hint="eastAsia" w:hAnsi="宋体" w:cs="宋体"/>
          <w:u w:val="single"/>
        </w:rPr>
      </w:pPr>
      <w:r>
        <w:rPr>
          <w:rFonts w:hint="eastAsia" w:hAnsi="宋体" w:cs="宋体"/>
        </w:rPr>
        <w:t>单位地址：</w:t>
      </w:r>
      <w:r>
        <w:rPr>
          <w:rFonts w:hint="eastAsia" w:hAnsi="宋体" w:cs="宋体"/>
          <w:u w:val="single"/>
        </w:rPr>
        <w:t xml:space="preserve">                </w:t>
      </w:r>
      <w:r>
        <w:rPr>
          <w:rFonts w:hint="eastAsia" w:hAnsi="宋体" w:cs="宋体"/>
        </w:rPr>
        <w:t>邮编：</w:t>
      </w:r>
      <w:r>
        <w:rPr>
          <w:rFonts w:hint="eastAsia" w:hAnsi="宋体" w:cs="宋体"/>
          <w:u w:val="single"/>
        </w:rPr>
        <w:t xml:space="preserve">            </w:t>
      </w:r>
      <w:r>
        <w:rPr>
          <w:rFonts w:hint="eastAsia" w:hAnsi="宋体" w:cs="宋体"/>
        </w:rPr>
        <w:t>电话：</w:t>
      </w:r>
      <w:r>
        <w:rPr>
          <w:rFonts w:hint="eastAsia" w:hAnsi="宋体" w:cs="宋体"/>
          <w:u w:val="single"/>
        </w:rPr>
        <w:t xml:space="preserve">          </w:t>
      </w:r>
      <w:r>
        <w:rPr>
          <w:rFonts w:hint="eastAsia" w:hAnsi="宋体" w:cs="宋体"/>
        </w:rPr>
        <w:t>传真：</w:t>
      </w:r>
      <w:r>
        <w:rPr>
          <w:rFonts w:hint="eastAsia" w:hAnsi="宋体" w:cs="宋体"/>
          <w:u w:val="single"/>
        </w:rPr>
        <w:t xml:space="preserve">              </w:t>
      </w:r>
    </w:p>
    <w:p w14:paraId="3B72A9DC">
      <w:pPr>
        <w:pStyle w:val="18"/>
        <w:adjustRightInd w:val="0"/>
        <w:snapToGrid w:val="0"/>
        <w:spacing w:line="360" w:lineRule="auto"/>
        <w:ind w:firstLine="480"/>
        <w:rPr>
          <w:rFonts w:hint="eastAsia" w:hAnsi="宋体" w:cs="宋体"/>
        </w:rPr>
      </w:pPr>
      <w:r>
        <w:rPr>
          <w:rFonts w:hint="eastAsia" w:hAnsi="宋体" w:cs="宋体"/>
        </w:rPr>
        <w:br w:type="page"/>
      </w:r>
    </w:p>
    <w:p w14:paraId="6E4A37F3">
      <w:pPr>
        <w:pStyle w:val="2"/>
        <w:ind w:firstLine="422"/>
        <w:rPr>
          <w:rFonts w:hint="eastAsia" w:ascii="宋体" w:hAnsi="宋体" w:cs="宋体"/>
        </w:rPr>
      </w:pPr>
      <w:bookmarkStart w:id="53" w:name="_Toc345575539"/>
      <w:bookmarkStart w:id="54" w:name="_Toc336683579"/>
      <w:r>
        <w:rPr>
          <w:rFonts w:hint="eastAsia" w:ascii="宋体" w:hAnsi="宋体" w:cs="宋体"/>
        </w:rPr>
        <w:t>二、开标一览表格式</w:t>
      </w:r>
      <w:bookmarkEnd w:id="53"/>
      <w:bookmarkEnd w:id="54"/>
    </w:p>
    <w:p w14:paraId="3589E19B">
      <w:pPr>
        <w:spacing w:line="360" w:lineRule="auto"/>
        <w:ind w:left="321" w:hanging="321" w:hangingChars="100"/>
        <w:jc w:val="center"/>
        <w:rPr>
          <w:rFonts w:hint="eastAsia" w:ascii="宋体" w:hAnsi="宋体" w:cs="宋体"/>
          <w:b/>
          <w:bCs/>
          <w:sz w:val="32"/>
          <w:szCs w:val="32"/>
        </w:rPr>
      </w:pPr>
      <w:r>
        <w:rPr>
          <w:rFonts w:hint="eastAsia" w:ascii="宋体" w:hAnsi="宋体" w:cs="宋体"/>
          <w:b/>
          <w:bCs/>
          <w:sz w:val="32"/>
          <w:szCs w:val="32"/>
        </w:rPr>
        <w:t>开标一览表</w:t>
      </w:r>
    </w:p>
    <w:p w14:paraId="0AE07849">
      <w:pPr>
        <w:pStyle w:val="18"/>
        <w:adjustRightInd w:val="0"/>
        <w:snapToGrid w:val="0"/>
        <w:spacing w:line="360" w:lineRule="auto"/>
        <w:rPr>
          <w:rFonts w:hint="eastAsia" w:hAnsi="宋体" w:cs="宋体"/>
          <w:szCs w:val="21"/>
          <w:u w:val="single"/>
        </w:rPr>
      </w:pPr>
      <w:r>
        <w:rPr>
          <w:rFonts w:hint="eastAsia" w:hAnsi="宋体" w:cs="宋体"/>
          <w:szCs w:val="21"/>
        </w:rPr>
        <w:t xml:space="preserve">项目名称： </w:t>
      </w:r>
      <w:r>
        <w:rPr>
          <w:rFonts w:hint="eastAsia" w:hAnsi="宋体" w:cs="宋体"/>
          <w:szCs w:val="21"/>
          <w:u w:val="single"/>
        </w:rPr>
        <w:t xml:space="preserve">                   </w:t>
      </w:r>
    </w:p>
    <w:p w14:paraId="2A832FF2">
      <w:pPr>
        <w:pStyle w:val="18"/>
        <w:adjustRightInd w:val="0"/>
        <w:snapToGrid w:val="0"/>
        <w:spacing w:line="360" w:lineRule="auto"/>
        <w:rPr>
          <w:rFonts w:hint="eastAsia" w:hAnsi="宋体" w:cs="宋体"/>
          <w:szCs w:val="21"/>
        </w:rPr>
      </w:pPr>
      <w:r>
        <w:rPr>
          <w:rFonts w:hint="eastAsia" w:hAnsi="宋体" w:cs="宋体"/>
          <w:szCs w:val="21"/>
        </w:rPr>
        <w:t xml:space="preserve">项目编号： </w:t>
      </w:r>
      <w:r>
        <w:rPr>
          <w:rFonts w:hint="eastAsia" w:hAnsi="宋体" w:cs="宋体"/>
          <w:szCs w:val="21"/>
          <w:u w:val="single"/>
        </w:rPr>
        <w:t xml:space="preserve">               </w:t>
      </w:r>
      <w:r>
        <w:rPr>
          <w:rFonts w:hint="eastAsia" w:hAnsi="宋体" w:cs="宋体"/>
          <w:szCs w:val="21"/>
        </w:rPr>
        <w:t xml:space="preserve">                               </w:t>
      </w:r>
    </w:p>
    <w:tbl>
      <w:tblPr>
        <w:tblStyle w:val="44"/>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2"/>
        <w:gridCol w:w="2209"/>
        <w:gridCol w:w="1632"/>
        <w:gridCol w:w="2032"/>
        <w:gridCol w:w="2150"/>
        <w:gridCol w:w="770"/>
      </w:tblGrid>
      <w:tr w14:paraId="494B9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320" w:type="pct"/>
            <w:vAlign w:val="center"/>
          </w:tcPr>
          <w:p w14:paraId="7B436DFD">
            <w:pPr>
              <w:spacing w:after="0" w:line="360" w:lineRule="auto"/>
              <w:jc w:val="center"/>
              <w:rPr>
                <w:rFonts w:hint="eastAsia" w:ascii="宋体" w:hAnsi="宋体" w:cs="宋体"/>
                <w:b/>
                <w:bCs/>
                <w:szCs w:val="21"/>
                <w:lang w:val="zh-CN" w:eastAsia="zh-CN"/>
              </w:rPr>
            </w:pPr>
            <w:r>
              <w:rPr>
                <w:rFonts w:hint="eastAsia" w:ascii="宋体" w:hAnsi="宋体" w:cs="宋体"/>
                <w:b/>
                <w:bCs/>
                <w:szCs w:val="21"/>
                <w:lang w:val="zh-CN" w:eastAsia="zh-CN"/>
              </w:rPr>
              <w:t>序号</w:t>
            </w:r>
          </w:p>
        </w:tc>
        <w:tc>
          <w:tcPr>
            <w:tcW w:w="1175" w:type="pct"/>
            <w:vAlign w:val="center"/>
          </w:tcPr>
          <w:p w14:paraId="348CA40A">
            <w:pPr>
              <w:spacing w:after="0" w:line="360" w:lineRule="auto"/>
              <w:jc w:val="center"/>
              <w:rPr>
                <w:rFonts w:hint="eastAsia" w:ascii="宋体" w:hAnsi="宋体" w:cs="宋体"/>
                <w:b/>
                <w:bCs/>
                <w:szCs w:val="21"/>
                <w:lang w:val="zh-CN" w:eastAsia="zh-CN"/>
              </w:rPr>
            </w:pPr>
            <w:r>
              <w:rPr>
                <w:rFonts w:hint="eastAsia" w:ascii="宋体" w:hAnsi="宋体" w:cs="宋体"/>
                <w:b/>
                <w:bCs/>
                <w:szCs w:val="21"/>
                <w:lang w:val="zh-CN" w:eastAsia="zh-CN"/>
              </w:rPr>
              <w:t>项目名称</w:t>
            </w:r>
          </w:p>
        </w:tc>
        <w:tc>
          <w:tcPr>
            <w:tcW w:w="868" w:type="pct"/>
            <w:vAlign w:val="center"/>
          </w:tcPr>
          <w:p w14:paraId="63F839BF">
            <w:pPr>
              <w:spacing w:after="0" w:line="360" w:lineRule="auto"/>
              <w:jc w:val="both"/>
              <w:rPr>
                <w:rFonts w:hint="eastAsia" w:ascii="宋体" w:hAnsi="宋体" w:cs="宋体"/>
                <w:b/>
                <w:bCs/>
                <w:szCs w:val="21"/>
                <w:lang w:val="zh-CN" w:eastAsia="zh-CN"/>
              </w:rPr>
            </w:pPr>
            <w:r>
              <w:rPr>
                <w:rFonts w:hint="eastAsia" w:ascii="宋体" w:hAnsi="宋体" w:cs="宋体"/>
                <w:b/>
                <w:bCs/>
                <w:szCs w:val="21"/>
                <w:lang w:val="zh-CN" w:eastAsia="zh-CN"/>
              </w:rPr>
              <w:t>最高限价（元）</w:t>
            </w:r>
          </w:p>
        </w:tc>
        <w:tc>
          <w:tcPr>
            <w:tcW w:w="1081" w:type="pct"/>
            <w:vAlign w:val="center"/>
          </w:tcPr>
          <w:p w14:paraId="159B0EE8">
            <w:pPr>
              <w:spacing w:after="0" w:line="360" w:lineRule="auto"/>
              <w:jc w:val="center"/>
              <w:rPr>
                <w:rFonts w:hint="eastAsia" w:ascii="宋体" w:hAnsi="宋体" w:cs="宋体"/>
                <w:b/>
                <w:bCs/>
                <w:szCs w:val="21"/>
                <w:lang w:val="zh-CN" w:eastAsia="zh-CN"/>
              </w:rPr>
            </w:pPr>
            <w:r>
              <w:rPr>
                <w:rFonts w:hint="eastAsia" w:ascii="宋体" w:hAnsi="宋体" w:cs="宋体"/>
                <w:b/>
                <w:bCs/>
                <w:szCs w:val="21"/>
                <w:lang w:val="zh-CN" w:eastAsia="zh-CN"/>
              </w:rPr>
              <w:t>投标报价（元）</w:t>
            </w:r>
          </w:p>
        </w:tc>
        <w:tc>
          <w:tcPr>
            <w:tcW w:w="1144" w:type="pct"/>
            <w:tcBorders>
              <w:left w:val="single" w:color="auto" w:sz="4" w:space="0"/>
            </w:tcBorders>
            <w:vAlign w:val="center"/>
          </w:tcPr>
          <w:p w14:paraId="1584CCF6">
            <w:pPr>
              <w:spacing w:after="0" w:line="360" w:lineRule="auto"/>
              <w:jc w:val="center"/>
              <w:rPr>
                <w:rFonts w:hint="eastAsia" w:ascii="宋体" w:hAnsi="宋体" w:cs="宋体"/>
                <w:b/>
                <w:bCs/>
                <w:szCs w:val="21"/>
                <w:lang w:val="zh-CN" w:eastAsia="zh-CN"/>
              </w:rPr>
            </w:pPr>
            <w:r>
              <w:rPr>
                <w:rFonts w:hint="eastAsia" w:ascii="宋体" w:hAnsi="宋体" w:cs="宋体"/>
                <w:b/>
                <w:bCs/>
                <w:szCs w:val="21"/>
                <w:lang w:val="zh-CN" w:eastAsia="zh-CN"/>
              </w:rPr>
              <w:t>服务期</w:t>
            </w:r>
          </w:p>
        </w:tc>
        <w:tc>
          <w:tcPr>
            <w:tcW w:w="409" w:type="pct"/>
            <w:tcBorders>
              <w:left w:val="single" w:color="auto" w:sz="4" w:space="0"/>
            </w:tcBorders>
            <w:vAlign w:val="center"/>
          </w:tcPr>
          <w:p w14:paraId="25E07C05">
            <w:pPr>
              <w:spacing w:after="0" w:line="360" w:lineRule="auto"/>
              <w:jc w:val="center"/>
              <w:rPr>
                <w:rFonts w:hint="eastAsia" w:ascii="宋体" w:hAnsi="宋体" w:cs="宋体"/>
                <w:b/>
                <w:bCs/>
                <w:szCs w:val="21"/>
                <w:lang w:val="zh-CN" w:eastAsia="zh-CN"/>
              </w:rPr>
            </w:pPr>
            <w:r>
              <w:rPr>
                <w:rFonts w:hint="eastAsia" w:ascii="宋体" w:hAnsi="宋体" w:cs="宋体"/>
                <w:b/>
                <w:bCs/>
                <w:szCs w:val="21"/>
                <w:lang w:val="zh-CN" w:eastAsia="zh-CN"/>
              </w:rPr>
              <w:t>备注</w:t>
            </w:r>
          </w:p>
        </w:tc>
      </w:tr>
      <w:tr w14:paraId="6C5E7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320" w:type="pct"/>
            <w:vAlign w:val="center"/>
          </w:tcPr>
          <w:p w14:paraId="731A6B73">
            <w:pPr>
              <w:spacing w:line="360" w:lineRule="auto"/>
              <w:jc w:val="center"/>
              <w:rPr>
                <w:rFonts w:hint="eastAsia" w:ascii="宋体" w:hAnsi="宋体" w:cs="宋体"/>
                <w:spacing w:val="20"/>
                <w:szCs w:val="21"/>
              </w:rPr>
            </w:pPr>
            <w:r>
              <w:rPr>
                <w:rFonts w:hint="eastAsia" w:ascii="宋体" w:hAnsi="宋体" w:cs="宋体"/>
                <w:spacing w:val="20"/>
                <w:szCs w:val="21"/>
              </w:rPr>
              <w:t>1</w:t>
            </w:r>
          </w:p>
        </w:tc>
        <w:tc>
          <w:tcPr>
            <w:tcW w:w="1175" w:type="pct"/>
            <w:vAlign w:val="center"/>
          </w:tcPr>
          <w:p w14:paraId="29E8DD32">
            <w:pPr>
              <w:spacing w:after="0" w:line="360" w:lineRule="auto"/>
              <w:rPr>
                <w:rFonts w:hint="eastAsia" w:ascii="宋体" w:hAnsi="宋体" w:cs="宋体"/>
                <w:b/>
                <w:bCs/>
                <w:szCs w:val="21"/>
                <w:lang w:val="zh-CN" w:eastAsia="zh-CN"/>
              </w:rPr>
            </w:pPr>
            <w:r>
              <w:rPr>
                <w:rFonts w:hint="eastAsia" w:ascii="宋体" w:hAnsi="宋体" w:cs="宋体"/>
                <w:b/>
                <w:bCs/>
                <w:szCs w:val="21"/>
                <w:lang w:val="zh-CN" w:eastAsia="zh-CN"/>
              </w:rPr>
              <w:t>浙江省二轻集团司库管理系统建设项目</w:t>
            </w:r>
          </w:p>
        </w:tc>
        <w:tc>
          <w:tcPr>
            <w:tcW w:w="868" w:type="pct"/>
            <w:vAlign w:val="center"/>
          </w:tcPr>
          <w:p w14:paraId="7E9F938E">
            <w:pPr>
              <w:spacing w:after="0" w:line="360" w:lineRule="auto"/>
              <w:jc w:val="center"/>
              <w:rPr>
                <w:rFonts w:hint="eastAsia" w:ascii="宋体" w:hAnsi="宋体" w:cs="宋体"/>
                <w:b/>
                <w:bCs/>
                <w:szCs w:val="21"/>
                <w:lang w:val="zh-CN" w:eastAsia="zh-CN"/>
              </w:rPr>
            </w:pPr>
            <w:r>
              <w:rPr>
                <w:rFonts w:hint="eastAsia" w:ascii="宋体" w:hAnsi="宋体" w:cs="宋体"/>
                <w:b/>
                <w:bCs/>
                <w:szCs w:val="21"/>
                <w:lang w:val="zh-CN" w:eastAsia="zh-CN"/>
              </w:rPr>
              <w:t>1100000</w:t>
            </w:r>
          </w:p>
        </w:tc>
        <w:tc>
          <w:tcPr>
            <w:tcW w:w="1081" w:type="pct"/>
            <w:vAlign w:val="center"/>
          </w:tcPr>
          <w:p w14:paraId="724279F2">
            <w:pPr>
              <w:spacing w:after="0" w:line="360" w:lineRule="auto"/>
              <w:rPr>
                <w:rFonts w:hint="eastAsia" w:ascii="宋体" w:hAnsi="宋体" w:cs="宋体"/>
                <w:b/>
                <w:bCs/>
                <w:szCs w:val="21"/>
                <w:lang w:val="zh-CN" w:eastAsia="zh-CN"/>
              </w:rPr>
            </w:pPr>
            <w:r>
              <w:rPr>
                <w:rFonts w:hint="eastAsia" w:ascii="宋体" w:hAnsi="宋体" w:cs="宋体"/>
                <w:b/>
                <w:bCs/>
                <w:szCs w:val="21"/>
                <w:lang w:val="zh-CN" w:eastAsia="zh-CN"/>
              </w:rPr>
              <w:t>小写：</w:t>
            </w:r>
          </w:p>
          <w:p w14:paraId="77A1F79F">
            <w:pPr>
              <w:spacing w:after="0" w:line="360" w:lineRule="auto"/>
              <w:ind w:firstLine="422" w:firstLineChars="200"/>
              <w:rPr>
                <w:rFonts w:hint="eastAsia" w:ascii="宋体" w:hAnsi="宋体" w:cs="宋体"/>
                <w:b/>
                <w:bCs/>
                <w:szCs w:val="21"/>
                <w:lang w:val="zh-CN" w:eastAsia="zh-CN"/>
              </w:rPr>
            </w:pPr>
          </w:p>
          <w:p w14:paraId="7D55A213">
            <w:pPr>
              <w:spacing w:after="0" w:line="360" w:lineRule="auto"/>
              <w:rPr>
                <w:rFonts w:hint="eastAsia" w:ascii="宋体" w:hAnsi="宋体" w:cs="宋体"/>
                <w:b/>
                <w:bCs/>
                <w:szCs w:val="21"/>
                <w:lang w:val="zh-CN" w:eastAsia="zh-CN"/>
              </w:rPr>
            </w:pPr>
            <w:r>
              <w:rPr>
                <w:rFonts w:hint="eastAsia" w:ascii="宋体" w:hAnsi="宋体" w:cs="宋体"/>
                <w:b/>
                <w:bCs/>
                <w:szCs w:val="21"/>
                <w:lang w:val="zh-CN" w:eastAsia="zh-CN"/>
              </w:rPr>
              <w:t>大写：</w:t>
            </w:r>
          </w:p>
        </w:tc>
        <w:tc>
          <w:tcPr>
            <w:tcW w:w="1144" w:type="pct"/>
            <w:tcBorders>
              <w:left w:val="single" w:color="auto" w:sz="4" w:space="0"/>
            </w:tcBorders>
            <w:vAlign w:val="center"/>
          </w:tcPr>
          <w:p w14:paraId="0E177F2E">
            <w:pPr>
              <w:spacing w:after="0" w:line="360" w:lineRule="auto"/>
              <w:rPr>
                <w:rFonts w:hint="eastAsia" w:ascii="宋体" w:hAnsi="宋体" w:cs="宋体"/>
                <w:b/>
                <w:bCs/>
                <w:szCs w:val="21"/>
                <w:lang w:val="zh-CN" w:eastAsia="zh-CN"/>
              </w:rPr>
            </w:pPr>
            <w:r>
              <w:rPr>
                <w:rFonts w:hint="eastAsia" w:ascii="宋体" w:hAnsi="宋体" w:cs="宋体"/>
                <w:b/>
                <w:bCs/>
                <w:szCs w:val="21"/>
                <w:highlight w:val="none"/>
                <w:lang w:val="en-US" w:eastAsia="zh-CN"/>
              </w:rPr>
              <w:t>合同签订至</w:t>
            </w:r>
            <w:r>
              <w:rPr>
                <w:rFonts w:hint="eastAsia" w:ascii="宋体" w:hAnsi="宋体" w:cs="宋体"/>
                <w:b/>
                <w:bCs/>
                <w:szCs w:val="21"/>
                <w:highlight w:val="none"/>
                <w:lang w:val="zh-CN" w:eastAsia="zh-CN"/>
              </w:rPr>
              <w:t>2027年12月31日（</w:t>
            </w:r>
            <w:r>
              <w:rPr>
                <w:rFonts w:hint="eastAsia" w:ascii="宋体" w:hAnsi="宋体" w:cs="宋体"/>
                <w:b/>
                <w:bCs/>
                <w:szCs w:val="21"/>
                <w:highlight w:val="none"/>
                <w:lang w:val="en-US" w:eastAsia="zh-CN"/>
              </w:rPr>
              <w:t>其中</w:t>
            </w:r>
            <w:r>
              <w:rPr>
                <w:rFonts w:hint="eastAsia" w:ascii="宋体" w:hAnsi="宋体" w:cs="宋体"/>
                <w:b/>
                <w:bCs/>
                <w:szCs w:val="21"/>
                <w:highlight w:val="none"/>
                <w:lang w:val="zh-CN" w:eastAsia="zh-CN"/>
              </w:rPr>
              <w:t>本项目需在2025年11月30日前完成系统全面切换上线，于</w:t>
            </w:r>
            <w:r>
              <w:rPr>
                <w:rFonts w:hint="eastAsia" w:ascii="宋体" w:hAnsi="宋体" w:cs="宋体"/>
                <w:b/>
                <w:bCs/>
                <w:szCs w:val="21"/>
                <w:highlight w:val="none"/>
                <w:lang w:val="en-US" w:eastAsia="zh-CN"/>
              </w:rPr>
              <w:t>2026</w:t>
            </w:r>
            <w:r>
              <w:rPr>
                <w:rFonts w:hint="eastAsia" w:ascii="宋体" w:hAnsi="宋体" w:cs="宋体"/>
                <w:b/>
                <w:bCs/>
                <w:szCs w:val="21"/>
                <w:highlight w:val="none"/>
                <w:lang w:val="zh-CN" w:eastAsia="zh-CN"/>
              </w:rPr>
              <w:t>年12月31日前完成项目整体验收）</w:t>
            </w:r>
          </w:p>
        </w:tc>
        <w:tc>
          <w:tcPr>
            <w:tcW w:w="409" w:type="pct"/>
            <w:tcBorders>
              <w:left w:val="single" w:color="auto" w:sz="4" w:space="0"/>
            </w:tcBorders>
            <w:vAlign w:val="center"/>
          </w:tcPr>
          <w:p w14:paraId="0D77F73C">
            <w:pPr>
              <w:spacing w:line="360" w:lineRule="auto"/>
              <w:jc w:val="center"/>
              <w:rPr>
                <w:rFonts w:hint="eastAsia" w:ascii="宋体" w:hAnsi="宋体" w:cs="宋体"/>
                <w:spacing w:val="20"/>
                <w:szCs w:val="21"/>
              </w:rPr>
            </w:pPr>
          </w:p>
        </w:tc>
      </w:tr>
    </w:tbl>
    <w:p w14:paraId="7A8C74B9">
      <w:pPr>
        <w:spacing w:after="0" w:line="360" w:lineRule="auto"/>
        <w:ind w:left="624" w:leftChars="0" w:hanging="624" w:hangingChars="296"/>
        <w:rPr>
          <w:rFonts w:hint="eastAsia" w:ascii="宋体" w:hAnsi="宋体" w:cs="宋体"/>
          <w:b/>
          <w:bCs/>
          <w:szCs w:val="21"/>
          <w:lang w:val="zh-CN" w:eastAsia="zh-CN"/>
        </w:rPr>
      </w:pPr>
      <w:r>
        <w:rPr>
          <w:rFonts w:hint="eastAsia" w:ascii="宋体" w:hAnsi="宋体" w:cs="宋体"/>
          <w:b/>
          <w:bCs/>
          <w:szCs w:val="21"/>
          <w:lang w:val="zh-CN" w:eastAsia="zh-CN"/>
        </w:rPr>
        <w:t>注：1</w:t>
      </w:r>
      <w:r>
        <w:rPr>
          <w:rFonts w:hint="eastAsia" w:ascii="宋体" w:hAnsi="宋体" w:cs="宋体"/>
          <w:b/>
          <w:bCs/>
          <w:szCs w:val="21"/>
          <w:lang w:val="en-US" w:eastAsia="zh-CN"/>
        </w:rPr>
        <w:t>.</w:t>
      </w:r>
      <w:r>
        <w:rPr>
          <w:rFonts w:hint="eastAsia" w:ascii="宋体" w:hAnsi="宋体" w:cs="宋体"/>
          <w:b/>
          <w:bCs/>
          <w:szCs w:val="21"/>
          <w:lang w:val="zh-CN" w:eastAsia="zh-CN"/>
        </w:rPr>
        <w:t>以上投标报价包括完成所有产品供货、履行所有规定服务及2027年12月31日前服务所产生的全部费用(含集团公司及国瑞科技二级部署的产品费、实施费、开发费以及上线后年费、服务费等），产品及服务须达到招标文件规定的质量标准及使用要求。</w:t>
      </w:r>
    </w:p>
    <w:p w14:paraId="19954F7D">
      <w:pPr>
        <w:spacing w:after="0" w:line="360" w:lineRule="auto"/>
        <w:ind w:firstLine="422" w:firstLineChars="200"/>
        <w:rPr>
          <w:rFonts w:hint="eastAsia" w:ascii="宋体" w:hAnsi="宋体" w:cs="宋体"/>
          <w:b/>
          <w:bCs/>
          <w:szCs w:val="21"/>
          <w:lang w:val="zh-CN" w:eastAsia="zh-CN"/>
        </w:rPr>
      </w:pPr>
      <w:r>
        <w:rPr>
          <w:rFonts w:hint="eastAsia" w:ascii="宋体" w:hAnsi="宋体" w:cs="宋体"/>
          <w:b/>
          <w:bCs/>
          <w:szCs w:val="21"/>
          <w:lang w:val="en-US" w:eastAsia="zh-CN"/>
        </w:rPr>
        <w:t>2.</w:t>
      </w:r>
      <w:r>
        <w:rPr>
          <w:rFonts w:hint="eastAsia" w:ascii="宋体" w:hAnsi="宋体" w:cs="宋体"/>
          <w:b/>
          <w:bCs/>
          <w:szCs w:val="21"/>
          <w:lang w:val="zh-CN" w:eastAsia="zh-CN"/>
        </w:rPr>
        <w:t>大写金额与小写金额不一致时，以大写金额为准。</w:t>
      </w:r>
    </w:p>
    <w:p w14:paraId="5C0BEC58">
      <w:pPr>
        <w:spacing w:after="0" w:line="360" w:lineRule="auto"/>
        <w:ind w:firstLine="422" w:firstLineChars="200"/>
        <w:rPr>
          <w:rFonts w:hint="eastAsia" w:ascii="宋体" w:hAnsi="宋体" w:cs="宋体"/>
          <w:b/>
          <w:bCs/>
          <w:szCs w:val="21"/>
          <w:lang w:val="zh-CN" w:eastAsia="zh-CN"/>
        </w:rPr>
      </w:pPr>
      <w:r>
        <w:rPr>
          <w:rFonts w:hint="eastAsia" w:ascii="宋体" w:hAnsi="宋体" w:cs="宋体"/>
          <w:b/>
          <w:bCs/>
          <w:szCs w:val="21"/>
          <w:lang w:val="zh-CN" w:eastAsia="zh-CN"/>
        </w:rPr>
        <w:t>3</w:t>
      </w:r>
      <w:r>
        <w:rPr>
          <w:rFonts w:hint="eastAsia" w:ascii="宋体" w:hAnsi="宋体" w:cs="宋体"/>
          <w:b/>
          <w:bCs/>
          <w:szCs w:val="21"/>
          <w:lang w:val="en-US" w:eastAsia="zh-CN"/>
        </w:rPr>
        <w:t>.</w:t>
      </w:r>
      <w:r>
        <w:rPr>
          <w:rFonts w:hint="eastAsia" w:ascii="宋体" w:hAnsi="宋体" w:cs="宋体"/>
          <w:b/>
          <w:bCs/>
          <w:szCs w:val="21"/>
          <w:lang w:val="zh-CN" w:eastAsia="zh-CN"/>
        </w:rPr>
        <w:t>上表中“投标报价”金额为《报价明细表》合计金额一致；</w:t>
      </w:r>
    </w:p>
    <w:p w14:paraId="5B546D19">
      <w:pPr>
        <w:adjustRightInd w:val="0"/>
        <w:snapToGrid w:val="0"/>
        <w:spacing w:line="360" w:lineRule="auto"/>
        <w:ind w:firstLine="420" w:firstLineChars="200"/>
        <w:rPr>
          <w:rFonts w:hint="eastAsia" w:ascii="宋体" w:hAnsi="宋体" w:cs="宋体"/>
          <w:szCs w:val="21"/>
        </w:rPr>
      </w:pPr>
    </w:p>
    <w:p w14:paraId="1CE7AC6F">
      <w:pPr>
        <w:adjustRightInd w:val="0"/>
        <w:snapToGrid w:val="0"/>
        <w:spacing w:line="360" w:lineRule="auto"/>
        <w:rPr>
          <w:rFonts w:hint="eastAsia" w:ascii="宋体" w:hAnsi="宋体" w:cs="宋体"/>
          <w:szCs w:val="21"/>
        </w:rPr>
      </w:pPr>
      <w:r>
        <w:rPr>
          <w:rFonts w:hint="eastAsia" w:ascii="宋体" w:hAnsi="宋体" w:cs="宋体"/>
          <w:szCs w:val="21"/>
        </w:rPr>
        <w:t>投标人全称（盖单位公章）：</w:t>
      </w:r>
      <w:r>
        <w:rPr>
          <w:rFonts w:hint="eastAsia" w:ascii="宋体" w:hAnsi="宋体" w:cs="宋体"/>
          <w:szCs w:val="21"/>
          <w:u w:val="single"/>
        </w:rPr>
        <w:t xml:space="preserve">                                  </w:t>
      </w:r>
    </w:p>
    <w:p w14:paraId="017740EC">
      <w:pPr>
        <w:adjustRightInd w:val="0"/>
        <w:snapToGrid w:val="0"/>
        <w:spacing w:line="360" w:lineRule="auto"/>
        <w:rPr>
          <w:rFonts w:hint="eastAsia" w:ascii="宋体" w:hAnsi="宋体" w:cs="宋体"/>
          <w:szCs w:val="21"/>
          <w:u w:val="single"/>
        </w:rPr>
      </w:pPr>
      <w:r>
        <w:rPr>
          <w:rFonts w:hint="eastAsia" w:ascii="宋体" w:hAnsi="宋体" w:cs="宋体"/>
          <w:szCs w:val="21"/>
        </w:rPr>
        <w:t>日期：</w:t>
      </w:r>
      <w:r>
        <w:rPr>
          <w:rFonts w:hint="eastAsia" w:ascii="宋体" w:hAnsi="宋体" w:cs="宋体"/>
          <w:kern w:val="0"/>
          <w:szCs w:val="21"/>
        </w:rPr>
        <w:t xml:space="preserve">   年  月  日</w:t>
      </w:r>
    </w:p>
    <w:p w14:paraId="46142CB2">
      <w:pPr>
        <w:pStyle w:val="2"/>
        <w:ind w:firstLine="422"/>
        <w:jc w:val="center"/>
        <w:rPr>
          <w:rFonts w:hint="eastAsia" w:ascii="宋体" w:hAnsi="宋体" w:cs="宋体"/>
        </w:rPr>
      </w:pPr>
      <w:r>
        <w:rPr>
          <w:rFonts w:hint="eastAsia" w:ascii="宋体" w:hAnsi="宋体" w:cs="宋体"/>
        </w:rPr>
        <w:br w:type="page"/>
      </w:r>
      <w:r>
        <w:rPr>
          <w:rFonts w:hint="eastAsia" w:ascii="宋体" w:hAnsi="宋体" w:cs="宋体"/>
        </w:rPr>
        <w:t>三、报价明细表格式（格式供参考）</w:t>
      </w:r>
    </w:p>
    <w:p w14:paraId="48B1BDF1">
      <w:pPr>
        <w:pStyle w:val="18"/>
        <w:adjustRightInd w:val="0"/>
        <w:snapToGrid w:val="0"/>
        <w:spacing w:line="360" w:lineRule="auto"/>
        <w:rPr>
          <w:rFonts w:hint="eastAsia" w:hAnsi="宋体" w:cs="宋体"/>
          <w:szCs w:val="21"/>
          <w:u w:val="single"/>
        </w:rPr>
      </w:pPr>
      <w:r>
        <w:rPr>
          <w:rFonts w:hint="eastAsia" w:hAnsi="宋体" w:cs="宋体"/>
          <w:szCs w:val="21"/>
        </w:rPr>
        <w:t xml:space="preserve">项目名称： </w:t>
      </w:r>
      <w:r>
        <w:rPr>
          <w:rFonts w:hint="eastAsia" w:hAnsi="宋体" w:cs="宋体"/>
          <w:szCs w:val="21"/>
          <w:u w:val="single"/>
        </w:rPr>
        <w:t xml:space="preserve">                   </w:t>
      </w:r>
    </w:p>
    <w:p w14:paraId="5B54B34E">
      <w:pPr>
        <w:pStyle w:val="18"/>
        <w:adjustRightInd w:val="0"/>
        <w:snapToGrid w:val="0"/>
        <w:spacing w:line="360" w:lineRule="auto"/>
        <w:rPr>
          <w:rFonts w:hint="eastAsia" w:hAnsi="宋体" w:cs="宋体"/>
          <w:szCs w:val="21"/>
        </w:rPr>
      </w:pPr>
      <w:r>
        <w:rPr>
          <w:rFonts w:hint="eastAsia" w:hAnsi="宋体" w:cs="宋体"/>
          <w:szCs w:val="21"/>
        </w:rPr>
        <w:t xml:space="preserve">项目编号： </w:t>
      </w:r>
      <w:r>
        <w:rPr>
          <w:rFonts w:hint="eastAsia" w:hAnsi="宋体" w:cs="宋体"/>
          <w:szCs w:val="21"/>
          <w:u w:val="single"/>
        </w:rPr>
        <w:t xml:space="preserve">                   </w:t>
      </w:r>
      <w:r>
        <w:rPr>
          <w:rFonts w:hint="eastAsia" w:hAnsi="宋体" w:cs="宋体"/>
          <w:szCs w:val="21"/>
        </w:rPr>
        <w:t xml:space="preserve">                               </w:t>
      </w:r>
    </w:p>
    <w:tbl>
      <w:tblPr>
        <w:tblStyle w:val="44"/>
        <w:tblW w:w="4993" w:type="pct"/>
        <w:jc w:val="center"/>
        <w:shd w:val="clear" w:color="auto" w:fill="FFFFFF"/>
        <w:tblLayout w:type="autofit"/>
        <w:tblCellMar>
          <w:top w:w="0" w:type="dxa"/>
          <w:left w:w="108" w:type="dxa"/>
          <w:bottom w:w="0" w:type="dxa"/>
          <w:right w:w="108" w:type="dxa"/>
        </w:tblCellMar>
      </w:tblPr>
      <w:tblGrid>
        <w:gridCol w:w="680"/>
        <w:gridCol w:w="1424"/>
        <w:gridCol w:w="2289"/>
        <w:gridCol w:w="824"/>
        <w:gridCol w:w="834"/>
        <w:gridCol w:w="1108"/>
        <w:gridCol w:w="1209"/>
        <w:gridCol w:w="1020"/>
      </w:tblGrid>
      <w:tr w14:paraId="5F2240F6">
        <w:tblPrEx>
          <w:tblCellMar>
            <w:top w:w="0" w:type="dxa"/>
            <w:left w:w="108" w:type="dxa"/>
            <w:bottom w:w="0" w:type="dxa"/>
            <w:right w:w="108" w:type="dxa"/>
          </w:tblCellMar>
        </w:tblPrEx>
        <w:trPr>
          <w:trHeight w:val="266" w:hRule="atLeast"/>
          <w:jc w:val="center"/>
        </w:trPr>
        <w:tc>
          <w:tcPr>
            <w:tcW w:w="362" w:type="pct"/>
            <w:tcBorders>
              <w:top w:val="single" w:color="000000" w:sz="4" w:space="0"/>
              <w:left w:val="single" w:color="auto" w:sz="4" w:space="0"/>
              <w:bottom w:val="single" w:color="auto" w:sz="4" w:space="0"/>
              <w:right w:val="single" w:color="000000" w:sz="4" w:space="0"/>
            </w:tcBorders>
            <w:shd w:val="clear" w:color="auto" w:fill="FFFFFF"/>
            <w:vAlign w:val="center"/>
          </w:tcPr>
          <w:p w14:paraId="6F87CF0A">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75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7E70B03">
            <w:pPr>
              <w:widowControl/>
              <w:jc w:val="center"/>
              <w:textAlignment w:val="center"/>
              <w:rPr>
                <w:rFonts w:hint="eastAsia" w:ascii="宋体" w:hAnsi="宋体" w:cs="宋体"/>
                <w:b/>
                <w:bCs/>
                <w:szCs w:val="21"/>
              </w:rPr>
            </w:pPr>
            <w:r>
              <w:rPr>
                <w:rFonts w:hint="eastAsia" w:ascii="宋体" w:hAnsi="宋体" w:cs="宋体"/>
                <w:b/>
                <w:bCs/>
                <w:kern w:val="0"/>
                <w:szCs w:val="21"/>
                <w:lang w:bidi="ar"/>
              </w:rPr>
              <w:t>费用名称</w:t>
            </w:r>
          </w:p>
        </w:tc>
        <w:tc>
          <w:tcPr>
            <w:tcW w:w="1219"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5F9BB90">
            <w:pPr>
              <w:widowControl/>
              <w:jc w:val="center"/>
              <w:textAlignment w:val="center"/>
              <w:rPr>
                <w:rFonts w:hint="eastAsia" w:ascii="宋体" w:hAnsi="宋体" w:cs="宋体"/>
                <w:b/>
                <w:bCs/>
                <w:szCs w:val="21"/>
              </w:rPr>
            </w:pPr>
            <w:r>
              <w:rPr>
                <w:rFonts w:hint="eastAsia" w:ascii="宋体" w:hAnsi="宋体" w:cs="宋体"/>
                <w:b/>
                <w:bCs/>
                <w:kern w:val="0"/>
                <w:szCs w:val="21"/>
                <w:lang w:bidi="ar"/>
              </w:rPr>
              <w:t>说明</w:t>
            </w:r>
          </w:p>
        </w:tc>
        <w:tc>
          <w:tcPr>
            <w:tcW w:w="439"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F48DFAA">
            <w:pPr>
              <w:widowControl/>
              <w:jc w:val="center"/>
              <w:textAlignment w:val="center"/>
              <w:rPr>
                <w:rFonts w:hint="eastAsia" w:ascii="宋体" w:hAnsi="宋体" w:cs="宋体"/>
                <w:b/>
                <w:bCs/>
                <w:szCs w:val="21"/>
              </w:rPr>
            </w:pPr>
            <w:r>
              <w:rPr>
                <w:rFonts w:hint="eastAsia" w:ascii="宋体" w:hAnsi="宋体" w:cs="宋体"/>
                <w:b/>
                <w:bCs/>
                <w:kern w:val="0"/>
                <w:szCs w:val="21"/>
                <w:lang w:bidi="ar"/>
              </w:rPr>
              <w:t>数量</w:t>
            </w:r>
          </w:p>
        </w:tc>
        <w:tc>
          <w:tcPr>
            <w:tcW w:w="44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7E0F978">
            <w:pPr>
              <w:widowControl/>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590" w:type="pct"/>
            <w:tcBorders>
              <w:top w:val="single" w:color="000000" w:sz="4" w:space="0"/>
              <w:left w:val="single" w:color="000000" w:sz="4" w:space="0"/>
              <w:bottom w:val="single" w:color="auto" w:sz="4" w:space="0"/>
              <w:right w:val="single" w:color="auto" w:sz="4" w:space="0"/>
            </w:tcBorders>
            <w:shd w:val="clear" w:color="auto" w:fill="FFFFFF"/>
            <w:vAlign w:val="center"/>
          </w:tcPr>
          <w:p w14:paraId="32E30125">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小计</w:t>
            </w:r>
          </w:p>
          <w:p w14:paraId="13AED65B">
            <w:pPr>
              <w:widowControl/>
              <w:jc w:val="center"/>
              <w:textAlignment w:val="center"/>
              <w:rPr>
                <w:rFonts w:hint="eastAsia" w:ascii="宋体" w:hAnsi="宋体" w:cs="宋体"/>
                <w:b/>
                <w:bCs/>
                <w:szCs w:val="21"/>
              </w:rPr>
            </w:pPr>
            <w:r>
              <w:rPr>
                <w:rFonts w:hint="eastAsia" w:ascii="宋体" w:hAnsi="宋体" w:cs="宋体"/>
                <w:b/>
                <w:bCs/>
                <w:kern w:val="0"/>
                <w:szCs w:val="21"/>
                <w:lang w:bidi="ar"/>
              </w:rPr>
              <w:t>（元）</w:t>
            </w:r>
          </w:p>
        </w:tc>
        <w:tc>
          <w:tcPr>
            <w:tcW w:w="644" w:type="pct"/>
            <w:tcBorders>
              <w:top w:val="single" w:color="000000" w:sz="4" w:space="0"/>
              <w:left w:val="single" w:color="000000" w:sz="4" w:space="0"/>
              <w:bottom w:val="single" w:color="auto" w:sz="4" w:space="0"/>
              <w:right w:val="single" w:color="auto" w:sz="4" w:space="0"/>
            </w:tcBorders>
            <w:shd w:val="clear" w:color="auto" w:fill="FFFFFF"/>
            <w:vAlign w:val="center"/>
          </w:tcPr>
          <w:p w14:paraId="4DF7945A">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合计</w:t>
            </w:r>
          </w:p>
          <w:p w14:paraId="613489B6">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（元）</w:t>
            </w:r>
          </w:p>
        </w:tc>
        <w:tc>
          <w:tcPr>
            <w:tcW w:w="541" w:type="pct"/>
            <w:tcBorders>
              <w:top w:val="single" w:color="000000" w:sz="4" w:space="0"/>
              <w:left w:val="single" w:color="000000" w:sz="4" w:space="0"/>
              <w:bottom w:val="single" w:color="auto" w:sz="4" w:space="0"/>
              <w:right w:val="single" w:color="auto" w:sz="4" w:space="0"/>
            </w:tcBorders>
            <w:shd w:val="clear" w:color="auto" w:fill="FFFFFF"/>
            <w:vAlign w:val="center"/>
          </w:tcPr>
          <w:p w14:paraId="50E9C4E5">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备注</w:t>
            </w:r>
          </w:p>
        </w:tc>
      </w:tr>
      <w:tr w14:paraId="0A7D8634">
        <w:tblPrEx>
          <w:tblCellMar>
            <w:top w:w="0" w:type="dxa"/>
            <w:left w:w="108" w:type="dxa"/>
            <w:bottom w:w="0" w:type="dxa"/>
            <w:right w:w="108" w:type="dxa"/>
          </w:tblCellMar>
        </w:tblPrEx>
        <w:trPr>
          <w:trHeight w:val="777" w:hRule="atLeast"/>
          <w:jc w:val="center"/>
        </w:trPr>
        <w:tc>
          <w:tcPr>
            <w:tcW w:w="362" w:type="pct"/>
            <w:tcBorders>
              <w:top w:val="single" w:color="auto" w:sz="4" w:space="0"/>
              <w:left w:val="single" w:color="000000" w:sz="4" w:space="0"/>
              <w:bottom w:val="single" w:color="000000" w:sz="4" w:space="0"/>
              <w:right w:val="single" w:color="000000" w:sz="4" w:space="0"/>
            </w:tcBorders>
            <w:shd w:val="clear" w:color="auto" w:fill="FFFFFF"/>
            <w:vAlign w:val="center"/>
          </w:tcPr>
          <w:p w14:paraId="63EDC6C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75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B40E908">
            <w:pPr>
              <w:pStyle w:val="18"/>
              <w:adjustRightInd w:val="0"/>
              <w:spacing w:line="300" w:lineRule="auto"/>
              <w:jc w:val="center"/>
              <w:rPr>
                <w:rFonts w:hint="eastAsia" w:hAnsi="宋体" w:cs="宋体"/>
                <w:szCs w:val="21"/>
              </w:rPr>
            </w:pPr>
          </w:p>
        </w:tc>
        <w:tc>
          <w:tcPr>
            <w:tcW w:w="1219" w:type="pct"/>
            <w:tcBorders>
              <w:top w:val="single" w:color="auto" w:sz="4" w:space="0"/>
              <w:left w:val="single" w:color="000000" w:sz="4" w:space="0"/>
              <w:bottom w:val="single" w:color="000000" w:sz="4" w:space="0"/>
              <w:right w:val="single" w:color="000000" w:sz="4" w:space="0"/>
            </w:tcBorders>
            <w:shd w:val="clear" w:color="auto" w:fill="FFFFFF"/>
            <w:vAlign w:val="center"/>
          </w:tcPr>
          <w:p w14:paraId="7FFB06E9">
            <w:pPr>
              <w:widowControl/>
              <w:jc w:val="center"/>
              <w:textAlignment w:val="center"/>
              <w:rPr>
                <w:rFonts w:hint="eastAsia" w:ascii="宋体" w:hAnsi="宋体" w:cs="宋体"/>
                <w:szCs w:val="21"/>
              </w:rPr>
            </w:pPr>
          </w:p>
        </w:tc>
        <w:tc>
          <w:tcPr>
            <w:tcW w:w="439" w:type="pct"/>
            <w:tcBorders>
              <w:top w:val="single" w:color="auto" w:sz="4" w:space="0"/>
              <w:left w:val="single" w:color="000000" w:sz="4" w:space="0"/>
              <w:bottom w:val="single" w:color="000000" w:sz="4" w:space="0"/>
              <w:right w:val="single" w:color="000000" w:sz="4" w:space="0"/>
            </w:tcBorders>
            <w:shd w:val="clear" w:color="auto" w:fill="FFFFFF"/>
            <w:vAlign w:val="center"/>
          </w:tcPr>
          <w:p w14:paraId="7C5F4745">
            <w:pPr>
              <w:widowControl/>
              <w:jc w:val="center"/>
              <w:textAlignment w:val="center"/>
              <w:rPr>
                <w:rFonts w:hint="eastAsia" w:ascii="宋体" w:hAnsi="宋体" w:cs="宋体"/>
                <w:szCs w:val="21"/>
              </w:rPr>
            </w:pPr>
          </w:p>
        </w:tc>
        <w:tc>
          <w:tcPr>
            <w:tcW w:w="44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67411E5E">
            <w:pPr>
              <w:widowControl/>
              <w:jc w:val="center"/>
              <w:textAlignment w:val="center"/>
              <w:rPr>
                <w:rFonts w:hint="eastAsia" w:ascii="宋体" w:hAnsi="宋体" w:cs="宋体"/>
                <w:szCs w:val="21"/>
              </w:rPr>
            </w:pPr>
          </w:p>
        </w:tc>
        <w:tc>
          <w:tcPr>
            <w:tcW w:w="590"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7E7C793">
            <w:pPr>
              <w:widowControl/>
              <w:jc w:val="center"/>
              <w:textAlignment w:val="center"/>
              <w:rPr>
                <w:rFonts w:hint="eastAsia" w:ascii="宋体" w:hAnsi="宋体" w:cs="宋体"/>
                <w:szCs w:val="21"/>
              </w:rPr>
            </w:pPr>
          </w:p>
        </w:tc>
        <w:tc>
          <w:tcPr>
            <w:tcW w:w="64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61BE6280">
            <w:pPr>
              <w:widowControl/>
              <w:jc w:val="center"/>
              <w:textAlignment w:val="center"/>
              <w:rPr>
                <w:rFonts w:hint="eastAsia" w:ascii="宋体" w:hAnsi="宋体" w:cs="宋体"/>
                <w:szCs w:val="21"/>
              </w:rPr>
            </w:pPr>
          </w:p>
        </w:tc>
        <w:tc>
          <w:tcPr>
            <w:tcW w:w="541"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B2EB9AF">
            <w:pPr>
              <w:widowControl/>
              <w:jc w:val="center"/>
              <w:textAlignment w:val="center"/>
              <w:rPr>
                <w:rFonts w:hint="eastAsia" w:ascii="宋体" w:hAnsi="宋体" w:cs="宋体"/>
                <w:szCs w:val="21"/>
              </w:rPr>
            </w:pPr>
          </w:p>
        </w:tc>
      </w:tr>
      <w:tr w14:paraId="7E1DEC21">
        <w:tblPrEx>
          <w:tblCellMar>
            <w:top w:w="0" w:type="dxa"/>
            <w:left w:w="108" w:type="dxa"/>
            <w:bottom w:w="0" w:type="dxa"/>
            <w:right w:w="108" w:type="dxa"/>
          </w:tblCellMar>
        </w:tblPrEx>
        <w:trPr>
          <w:trHeight w:val="750" w:hRule="atLeast"/>
          <w:jc w:val="center"/>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D7F08">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9C1F1">
            <w:pPr>
              <w:pStyle w:val="18"/>
              <w:adjustRightInd w:val="0"/>
              <w:spacing w:line="300" w:lineRule="auto"/>
              <w:jc w:val="center"/>
              <w:rPr>
                <w:rFonts w:hint="eastAsia"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CC22B">
            <w:pPr>
              <w:widowControl/>
              <w:jc w:val="center"/>
              <w:textAlignment w:val="center"/>
              <w:rPr>
                <w:rFonts w:hint="eastAsia" w:ascii="宋体" w:hAnsi="宋体" w:cs="宋体"/>
                <w:szCs w:val="21"/>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02571">
            <w:pPr>
              <w:widowControl/>
              <w:jc w:val="center"/>
              <w:textAlignment w:val="center"/>
              <w:rPr>
                <w:rFonts w:hint="eastAsia" w:ascii="宋体" w:hAnsi="宋体" w:cs="宋体"/>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1299B">
            <w:pPr>
              <w:widowControl/>
              <w:jc w:val="center"/>
              <w:textAlignment w:val="center"/>
              <w:rPr>
                <w:rFonts w:hint="eastAsia" w:ascii="宋体" w:hAnsi="宋体" w:cs="宋体"/>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87F58">
            <w:pPr>
              <w:widowControl/>
              <w:jc w:val="center"/>
              <w:textAlignment w:val="center"/>
              <w:rPr>
                <w:rFonts w:hint="eastAsia" w:ascii="宋体" w:hAnsi="宋体" w:cs="宋体"/>
                <w:szCs w:val="21"/>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ABE8D">
            <w:pPr>
              <w:widowControl/>
              <w:jc w:val="center"/>
              <w:textAlignment w:val="center"/>
              <w:rPr>
                <w:rFonts w:hint="eastAsia" w:ascii="宋体" w:hAnsi="宋体" w:cs="宋体"/>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6A12">
            <w:pPr>
              <w:widowControl/>
              <w:jc w:val="center"/>
              <w:textAlignment w:val="center"/>
              <w:rPr>
                <w:rFonts w:hint="eastAsia" w:ascii="宋体" w:hAnsi="宋体" w:cs="宋体"/>
                <w:szCs w:val="21"/>
              </w:rPr>
            </w:pPr>
          </w:p>
        </w:tc>
      </w:tr>
      <w:tr w14:paraId="25C79C7E">
        <w:tblPrEx>
          <w:tblCellMar>
            <w:top w:w="0" w:type="dxa"/>
            <w:left w:w="108" w:type="dxa"/>
            <w:bottom w:w="0" w:type="dxa"/>
            <w:right w:w="108" w:type="dxa"/>
          </w:tblCellMar>
        </w:tblPrEx>
        <w:trPr>
          <w:trHeight w:val="750" w:hRule="atLeast"/>
          <w:jc w:val="center"/>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C9303">
            <w:pPr>
              <w:widowControl/>
              <w:jc w:val="center"/>
              <w:textAlignment w:val="center"/>
              <w:rPr>
                <w:rFonts w:hint="eastAsia" w:ascii="宋体" w:hAnsi="宋体" w:cs="宋体"/>
                <w:kern w:val="0"/>
                <w:szCs w:val="21"/>
                <w:lang w:bidi="ar"/>
              </w:rPr>
            </w:pP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D46A7">
            <w:pPr>
              <w:pStyle w:val="18"/>
              <w:adjustRightInd w:val="0"/>
              <w:spacing w:line="300" w:lineRule="auto"/>
              <w:jc w:val="center"/>
              <w:rPr>
                <w:rFonts w:hint="eastAsia"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11E90">
            <w:pPr>
              <w:widowControl/>
              <w:jc w:val="center"/>
              <w:textAlignment w:val="center"/>
              <w:rPr>
                <w:rFonts w:hint="eastAsia" w:ascii="宋体" w:hAnsi="宋体" w:cs="宋体"/>
                <w:szCs w:val="21"/>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9493A">
            <w:pPr>
              <w:widowControl/>
              <w:jc w:val="center"/>
              <w:textAlignment w:val="center"/>
              <w:rPr>
                <w:rFonts w:hint="eastAsia" w:ascii="宋体" w:hAnsi="宋体" w:cs="宋体"/>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F7375">
            <w:pPr>
              <w:widowControl/>
              <w:jc w:val="center"/>
              <w:textAlignment w:val="center"/>
              <w:rPr>
                <w:rFonts w:hint="eastAsia" w:ascii="宋体" w:hAnsi="宋体" w:cs="宋体"/>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CA971">
            <w:pPr>
              <w:widowControl/>
              <w:jc w:val="center"/>
              <w:textAlignment w:val="center"/>
              <w:rPr>
                <w:rFonts w:hint="eastAsia" w:ascii="宋体" w:hAnsi="宋体" w:cs="宋体"/>
                <w:szCs w:val="21"/>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1BED9">
            <w:pPr>
              <w:widowControl/>
              <w:jc w:val="center"/>
              <w:textAlignment w:val="center"/>
              <w:rPr>
                <w:rFonts w:hint="eastAsia" w:ascii="宋体" w:hAnsi="宋体" w:cs="宋体"/>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C02BB">
            <w:pPr>
              <w:widowControl/>
              <w:jc w:val="center"/>
              <w:textAlignment w:val="center"/>
              <w:rPr>
                <w:rFonts w:hint="eastAsia" w:ascii="宋体" w:hAnsi="宋体" w:cs="宋体"/>
                <w:szCs w:val="21"/>
              </w:rPr>
            </w:pPr>
          </w:p>
        </w:tc>
      </w:tr>
      <w:tr w14:paraId="03F44AF2">
        <w:tblPrEx>
          <w:shd w:val="clear" w:color="auto" w:fill="auto"/>
          <w:tblCellMar>
            <w:top w:w="0" w:type="dxa"/>
            <w:left w:w="108" w:type="dxa"/>
            <w:bottom w:w="0" w:type="dxa"/>
            <w:right w:w="108" w:type="dxa"/>
          </w:tblCellMar>
        </w:tblPrEx>
        <w:trPr>
          <w:trHeight w:val="718" w:hRule="atLeast"/>
          <w:jc w:val="center"/>
        </w:trPr>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CB53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合计（元）</w:t>
            </w:r>
          </w:p>
        </w:tc>
        <w:tc>
          <w:tcPr>
            <w:tcW w:w="38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55C6C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小写：</w:t>
            </w:r>
          </w:p>
          <w:p w14:paraId="2CDFBAD4">
            <w:pPr>
              <w:widowControl/>
              <w:jc w:val="left"/>
              <w:textAlignment w:val="center"/>
              <w:rPr>
                <w:rFonts w:hint="eastAsia" w:ascii="宋体" w:hAnsi="宋体" w:cs="宋体"/>
                <w:kern w:val="0"/>
                <w:szCs w:val="21"/>
                <w:lang w:bidi="ar"/>
              </w:rPr>
            </w:pPr>
          </w:p>
          <w:p w14:paraId="47BF79D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大写：</w:t>
            </w:r>
          </w:p>
        </w:tc>
      </w:tr>
    </w:tbl>
    <w:p w14:paraId="30C4B69C">
      <w:pPr>
        <w:spacing w:after="0" w:line="360" w:lineRule="auto"/>
        <w:ind w:left="0" w:leftChars="0" w:firstLine="0" w:firstLineChars="0"/>
        <w:rPr>
          <w:rFonts w:hint="eastAsia" w:ascii="宋体" w:hAnsi="宋体" w:cs="宋体"/>
          <w:b/>
          <w:bCs/>
          <w:szCs w:val="21"/>
          <w:lang w:val="zh-CN" w:eastAsia="zh-CN"/>
        </w:rPr>
      </w:pPr>
      <w:r>
        <w:rPr>
          <w:rFonts w:hint="eastAsia" w:ascii="宋体" w:hAnsi="宋体" w:cs="宋体"/>
          <w:b/>
          <w:bCs/>
          <w:szCs w:val="21"/>
          <w:lang w:val="zh-CN" w:eastAsia="zh-CN"/>
        </w:rPr>
        <w:t>注：1</w:t>
      </w:r>
      <w:r>
        <w:rPr>
          <w:rFonts w:hint="eastAsia" w:ascii="宋体" w:hAnsi="宋体" w:cs="宋体"/>
          <w:b/>
          <w:bCs/>
          <w:szCs w:val="21"/>
          <w:lang w:val="en-US" w:eastAsia="zh-CN"/>
        </w:rPr>
        <w:t>.</w:t>
      </w:r>
      <w:r>
        <w:rPr>
          <w:rFonts w:hint="eastAsia" w:ascii="宋体" w:hAnsi="宋体" w:cs="宋体"/>
          <w:b/>
          <w:bCs/>
          <w:szCs w:val="21"/>
          <w:lang w:val="zh-CN" w:eastAsia="zh-CN"/>
        </w:rPr>
        <w:t>有关本项目所需的一切相关费用均计入报价，</w:t>
      </w:r>
      <w:r>
        <w:rPr>
          <w:rFonts w:hint="eastAsia" w:ascii="宋体" w:hAnsi="宋体" w:cs="宋体"/>
          <w:b/>
          <w:bCs/>
          <w:szCs w:val="21"/>
          <w:lang w:val="en-US" w:eastAsia="zh-CN"/>
        </w:rPr>
        <w:t>招标</w:t>
      </w:r>
      <w:r>
        <w:rPr>
          <w:rFonts w:hint="eastAsia" w:ascii="宋体" w:hAnsi="宋体" w:cs="宋体"/>
          <w:b/>
          <w:bCs/>
          <w:szCs w:val="21"/>
          <w:lang w:val="zh-CN" w:eastAsia="zh-CN"/>
        </w:rPr>
        <w:t xml:space="preserve">人不再支付额外费用。 </w:t>
      </w:r>
    </w:p>
    <w:p w14:paraId="44D00909">
      <w:pPr>
        <w:spacing w:after="0" w:line="360" w:lineRule="auto"/>
        <w:ind w:left="637" w:leftChars="200" w:hanging="217" w:hangingChars="103"/>
        <w:rPr>
          <w:rFonts w:hint="eastAsia" w:ascii="宋体" w:hAnsi="宋体" w:cs="宋体"/>
          <w:b/>
          <w:bCs/>
          <w:szCs w:val="21"/>
          <w:lang w:val="zh-CN" w:eastAsia="zh-CN"/>
        </w:rPr>
      </w:pPr>
      <w:r>
        <w:rPr>
          <w:rFonts w:hint="eastAsia" w:ascii="宋体" w:hAnsi="宋体" w:cs="宋体"/>
          <w:b/>
          <w:bCs/>
          <w:szCs w:val="21"/>
          <w:lang w:val="zh-CN" w:eastAsia="zh-CN"/>
        </w:rPr>
        <w:t>2</w:t>
      </w:r>
      <w:r>
        <w:rPr>
          <w:rFonts w:hint="eastAsia" w:ascii="宋体" w:hAnsi="宋体" w:cs="宋体"/>
          <w:b/>
          <w:bCs/>
          <w:szCs w:val="21"/>
          <w:lang w:val="en-US" w:eastAsia="zh-CN"/>
        </w:rPr>
        <w:t>.</w:t>
      </w:r>
      <w:r>
        <w:rPr>
          <w:rFonts w:hint="eastAsia" w:ascii="宋体" w:hAnsi="宋体" w:cs="宋体"/>
          <w:b/>
          <w:bCs/>
          <w:szCs w:val="21"/>
          <w:lang w:val="zh-CN" w:eastAsia="zh-CN"/>
        </w:rPr>
        <w:t>报价一经涂改，应在涂改处加盖单位公章或者由法定代表人或授权委托人签字或盖章，否则其响应作无效</w:t>
      </w:r>
      <w:r>
        <w:rPr>
          <w:rFonts w:hint="eastAsia" w:ascii="宋体" w:hAnsi="宋体" w:cs="宋体"/>
          <w:b/>
          <w:bCs/>
          <w:szCs w:val="21"/>
          <w:lang w:val="en-US" w:eastAsia="zh-CN"/>
        </w:rPr>
        <w:t>投标</w:t>
      </w:r>
      <w:r>
        <w:rPr>
          <w:rFonts w:hint="eastAsia" w:ascii="宋体" w:hAnsi="宋体" w:cs="宋体"/>
          <w:b/>
          <w:bCs/>
          <w:szCs w:val="21"/>
          <w:lang w:val="zh-CN" w:eastAsia="zh-CN"/>
        </w:rPr>
        <w:t>处理。</w:t>
      </w:r>
    </w:p>
    <w:p w14:paraId="12FDDCDD">
      <w:pPr>
        <w:spacing w:after="0"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zh-CN" w:eastAsia="zh-CN"/>
        </w:rPr>
        <w:t>3</w:t>
      </w:r>
      <w:r>
        <w:rPr>
          <w:rFonts w:hint="eastAsia" w:ascii="宋体" w:hAnsi="宋体" w:cs="宋体"/>
          <w:b/>
          <w:bCs/>
          <w:szCs w:val="21"/>
          <w:lang w:val="en-US" w:eastAsia="zh-CN"/>
        </w:rPr>
        <w:t>.</w:t>
      </w:r>
      <w:r>
        <w:rPr>
          <w:rFonts w:hint="eastAsia" w:ascii="宋体" w:hAnsi="宋体" w:cs="宋体"/>
          <w:b/>
          <w:bCs/>
          <w:szCs w:val="21"/>
          <w:lang w:val="zh-CN" w:eastAsia="zh-CN"/>
        </w:rPr>
        <w:t>以上表格中各项可进一步细分，栏数不够可自加。</w:t>
      </w:r>
    </w:p>
    <w:p w14:paraId="7D4557AE">
      <w:pPr>
        <w:adjustRightInd w:val="0"/>
        <w:snapToGrid w:val="0"/>
        <w:spacing w:line="360" w:lineRule="auto"/>
        <w:ind w:firstLine="420" w:firstLineChars="200"/>
        <w:rPr>
          <w:rFonts w:hint="eastAsia" w:ascii="宋体" w:hAnsi="宋体" w:cs="宋体"/>
          <w:szCs w:val="21"/>
        </w:rPr>
      </w:pPr>
    </w:p>
    <w:p w14:paraId="1F2CD24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投标人全称（盖单位公章）：</w:t>
      </w:r>
      <w:r>
        <w:rPr>
          <w:rFonts w:hint="eastAsia" w:ascii="宋体" w:hAnsi="宋体" w:cs="宋体"/>
          <w:szCs w:val="21"/>
          <w:u w:val="single"/>
        </w:rPr>
        <w:t xml:space="preserve">                                  </w:t>
      </w:r>
    </w:p>
    <w:p w14:paraId="4897A1E1">
      <w:pPr>
        <w:ind w:firstLine="422"/>
        <w:rPr>
          <w:rFonts w:hint="eastAsia" w:ascii="宋体" w:hAnsi="宋体" w:cs="宋体"/>
          <w:kern w:val="0"/>
          <w:szCs w:val="21"/>
        </w:rPr>
      </w:pPr>
      <w:r>
        <w:rPr>
          <w:rFonts w:hint="eastAsia" w:ascii="宋体" w:hAnsi="宋体" w:cs="宋体"/>
          <w:szCs w:val="21"/>
        </w:rPr>
        <w:t>日期：</w:t>
      </w:r>
      <w:r>
        <w:rPr>
          <w:rFonts w:hint="eastAsia" w:ascii="宋体" w:hAnsi="宋体" w:cs="宋体"/>
          <w:kern w:val="0"/>
          <w:szCs w:val="21"/>
        </w:rPr>
        <w:t xml:space="preserve">   年  月  日</w:t>
      </w:r>
    </w:p>
    <w:p w14:paraId="7EC3B9CA">
      <w:pPr>
        <w:rPr>
          <w:rFonts w:hint="eastAsia" w:ascii="宋体" w:hAnsi="宋体" w:cs="宋体"/>
        </w:rPr>
      </w:pPr>
      <w:r>
        <w:rPr>
          <w:rFonts w:hint="eastAsia" w:ascii="宋体" w:hAnsi="宋体" w:cs="宋体"/>
        </w:rPr>
        <w:br w:type="page"/>
      </w:r>
    </w:p>
    <w:p w14:paraId="4BF6501D">
      <w:pPr>
        <w:ind w:firstLine="422"/>
        <w:outlineLvl w:val="1"/>
        <w:rPr>
          <w:rFonts w:hint="eastAsia" w:ascii="宋体" w:hAnsi="宋体" w:cs="宋体"/>
        </w:rPr>
      </w:pPr>
      <w:bookmarkStart w:id="55" w:name="_Toc437953149"/>
      <w:r>
        <w:rPr>
          <w:rFonts w:hint="eastAsia" w:ascii="宋体" w:hAnsi="宋体" w:cs="宋体"/>
          <w:kern w:val="0"/>
          <w:szCs w:val="21"/>
        </w:rPr>
        <w:t>商务</w:t>
      </w:r>
      <w:r>
        <w:rPr>
          <w:rFonts w:hint="eastAsia" w:ascii="宋体" w:hAnsi="宋体" w:cs="宋体"/>
          <w:kern w:val="0"/>
        </w:rPr>
        <w:t>技术文件封面</w:t>
      </w:r>
      <w:bookmarkEnd w:id="55"/>
    </w:p>
    <w:p w14:paraId="3EE8AFB5">
      <w:pPr>
        <w:tabs>
          <w:tab w:val="left" w:pos="2580"/>
          <w:tab w:val="left" w:pos="5940"/>
        </w:tabs>
        <w:autoSpaceDE w:val="0"/>
        <w:autoSpaceDN w:val="0"/>
        <w:adjustRightInd w:val="0"/>
        <w:snapToGrid w:val="0"/>
        <w:spacing w:line="360" w:lineRule="auto"/>
        <w:ind w:right="-20" w:firstLine="735" w:firstLineChars="350"/>
        <w:rPr>
          <w:rFonts w:hint="eastAsia" w:ascii="宋体" w:hAnsi="宋体" w:cs="宋体"/>
        </w:rPr>
      </w:pPr>
    </w:p>
    <w:p w14:paraId="2D219E8C">
      <w:pPr>
        <w:tabs>
          <w:tab w:val="left" w:pos="2580"/>
          <w:tab w:val="left" w:pos="5940"/>
        </w:tabs>
        <w:autoSpaceDE w:val="0"/>
        <w:autoSpaceDN w:val="0"/>
        <w:adjustRightInd w:val="0"/>
        <w:snapToGrid w:val="0"/>
        <w:spacing w:line="360" w:lineRule="auto"/>
        <w:ind w:right="-20" w:firstLine="735" w:firstLineChars="350"/>
        <w:rPr>
          <w:rFonts w:hint="eastAsia" w:ascii="宋体" w:hAnsi="宋体" w:cs="宋体"/>
        </w:rPr>
      </w:pPr>
    </w:p>
    <w:p w14:paraId="421FFDA5">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kern w:val="0"/>
          <w:sz w:val="28"/>
          <w:u w:val="single"/>
        </w:rPr>
      </w:pPr>
      <w:r>
        <w:rPr>
          <w:rFonts w:hint="eastAsia" w:ascii="宋体" w:hAnsi="宋体" w:cs="宋体"/>
          <w:kern w:val="0"/>
          <w:sz w:val="28"/>
        </w:rPr>
        <w:t>项目名称：</w:t>
      </w:r>
      <w:r>
        <w:rPr>
          <w:rFonts w:hint="eastAsia" w:ascii="宋体" w:hAnsi="宋体" w:cs="宋体"/>
          <w:kern w:val="0"/>
          <w:sz w:val="28"/>
          <w:u w:val="single"/>
        </w:rPr>
        <w:t xml:space="preserve">                                         </w:t>
      </w:r>
    </w:p>
    <w:p w14:paraId="6B7D2F70">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kern w:val="0"/>
          <w:sz w:val="28"/>
          <w:u w:val="single"/>
        </w:rPr>
      </w:pPr>
      <w:r>
        <w:rPr>
          <w:rFonts w:hint="eastAsia" w:ascii="宋体" w:hAnsi="宋体" w:cs="宋体"/>
          <w:kern w:val="0"/>
          <w:sz w:val="28"/>
        </w:rPr>
        <w:t>项目编号：</w:t>
      </w:r>
      <w:r>
        <w:rPr>
          <w:rFonts w:hint="eastAsia" w:ascii="宋体" w:hAnsi="宋体" w:cs="宋体"/>
          <w:kern w:val="0"/>
          <w:sz w:val="28"/>
          <w:u w:val="single"/>
        </w:rPr>
        <w:t xml:space="preserve">                                     </w:t>
      </w:r>
    </w:p>
    <w:p w14:paraId="64309D9F">
      <w:pPr>
        <w:autoSpaceDE w:val="0"/>
        <w:autoSpaceDN w:val="0"/>
        <w:adjustRightInd w:val="0"/>
        <w:snapToGrid w:val="0"/>
        <w:spacing w:line="360" w:lineRule="auto"/>
        <w:jc w:val="left"/>
        <w:rPr>
          <w:rFonts w:hint="eastAsia" w:ascii="宋体" w:hAnsi="宋体" w:cs="宋体"/>
          <w:kern w:val="0"/>
          <w:sz w:val="24"/>
        </w:rPr>
      </w:pPr>
    </w:p>
    <w:p w14:paraId="27C24156">
      <w:pPr>
        <w:autoSpaceDE w:val="0"/>
        <w:autoSpaceDN w:val="0"/>
        <w:adjustRightInd w:val="0"/>
        <w:snapToGrid w:val="0"/>
        <w:spacing w:line="360" w:lineRule="auto"/>
        <w:jc w:val="left"/>
        <w:rPr>
          <w:rFonts w:hint="eastAsia" w:ascii="宋体" w:hAnsi="宋体" w:cs="宋体"/>
          <w:kern w:val="0"/>
          <w:sz w:val="24"/>
        </w:rPr>
      </w:pPr>
    </w:p>
    <w:p w14:paraId="19357AC1">
      <w:pPr>
        <w:autoSpaceDE w:val="0"/>
        <w:autoSpaceDN w:val="0"/>
        <w:adjustRightInd w:val="0"/>
        <w:snapToGrid w:val="0"/>
        <w:spacing w:line="360" w:lineRule="auto"/>
        <w:jc w:val="left"/>
        <w:rPr>
          <w:rFonts w:hint="eastAsia" w:ascii="宋体" w:hAnsi="宋体" w:cs="宋体"/>
          <w:kern w:val="0"/>
          <w:sz w:val="24"/>
        </w:rPr>
      </w:pPr>
    </w:p>
    <w:p w14:paraId="5759A34C">
      <w:pPr>
        <w:tabs>
          <w:tab w:val="left" w:pos="1805"/>
          <w:tab w:val="left" w:pos="5360"/>
        </w:tabs>
        <w:autoSpaceDE w:val="0"/>
        <w:autoSpaceDN w:val="0"/>
        <w:adjustRightInd w:val="0"/>
        <w:snapToGrid w:val="0"/>
        <w:spacing w:line="360" w:lineRule="auto"/>
        <w:ind w:right="-20"/>
        <w:jc w:val="center"/>
        <w:rPr>
          <w:rFonts w:hint="eastAsia" w:ascii="宋体" w:hAnsi="宋体" w:cs="宋体"/>
          <w:kern w:val="0"/>
          <w:sz w:val="72"/>
        </w:rPr>
      </w:pPr>
      <w:r>
        <w:rPr>
          <w:rFonts w:hint="eastAsia" w:ascii="宋体" w:hAnsi="宋体" w:cs="宋体"/>
          <w:kern w:val="0"/>
          <w:sz w:val="72"/>
        </w:rPr>
        <w:t>投 标 文 件</w:t>
      </w:r>
    </w:p>
    <w:p w14:paraId="1B97C3D3">
      <w:pPr>
        <w:tabs>
          <w:tab w:val="left" w:pos="1805"/>
          <w:tab w:val="left" w:pos="5360"/>
        </w:tabs>
        <w:autoSpaceDE w:val="0"/>
        <w:autoSpaceDN w:val="0"/>
        <w:adjustRightInd w:val="0"/>
        <w:snapToGrid w:val="0"/>
        <w:spacing w:line="360" w:lineRule="auto"/>
        <w:ind w:right="-20"/>
        <w:jc w:val="center"/>
        <w:rPr>
          <w:rFonts w:hint="eastAsia" w:ascii="宋体" w:hAnsi="宋体" w:cs="宋体"/>
          <w:kern w:val="0"/>
          <w:sz w:val="72"/>
        </w:rPr>
      </w:pPr>
      <w:r>
        <w:rPr>
          <w:rFonts w:hint="eastAsia" w:ascii="宋体" w:hAnsi="宋体" w:cs="宋体"/>
          <w:kern w:val="0"/>
          <w:sz w:val="72"/>
        </w:rPr>
        <w:t>（商务技术文件）</w:t>
      </w:r>
    </w:p>
    <w:p w14:paraId="27082AFE">
      <w:pPr>
        <w:autoSpaceDE w:val="0"/>
        <w:autoSpaceDN w:val="0"/>
        <w:adjustRightInd w:val="0"/>
        <w:snapToGrid w:val="0"/>
        <w:spacing w:line="360" w:lineRule="auto"/>
        <w:jc w:val="left"/>
        <w:rPr>
          <w:rFonts w:hint="eastAsia" w:ascii="宋体" w:hAnsi="宋体" w:cs="宋体"/>
          <w:kern w:val="0"/>
          <w:sz w:val="20"/>
        </w:rPr>
      </w:pPr>
    </w:p>
    <w:p w14:paraId="2DBD70C3">
      <w:pPr>
        <w:autoSpaceDE w:val="0"/>
        <w:autoSpaceDN w:val="0"/>
        <w:adjustRightInd w:val="0"/>
        <w:snapToGrid w:val="0"/>
        <w:spacing w:line="360" w:lineRule="auto"/>
        <w:jc w:val="left"/>
        <w:rPr>
          <w:rFonts w:hint="eastAsia" w:ascii="宋体" w:hAnsi="宋体" w:cs="宋体"/>
          <w:kern w:val="0"/>
          <w:sz w:val="20"/>
        </w:rPr>
      </w:pPr>
    </w:p>
    <w:p w14:paraId="516ECC20">
      <w:pPr>
        <w:autoSpaceDE w:val="0"/>
        <w:autoSpaceDN w:val="0"/>
        <w:adjustRightInd w:val="0"/>
        <w:snapToGrid w:val="0"/>
        <w:spacing w:line="360" w:lineRule="auto"/>
        <w:jc w:val="left"/>
        <w:rPr>
          <w:rFonts w:hint="eastAsia" w:ascii="宋体" w:hAnsi="宋体" w:cs="宋体"/>
          <w:kern w:val="0"/>
          <w:sz w:val="20"/>
        </w:rPr>
      </w:pPr>
    </w:p>
    <w:p w14:paraId="31B7C864">
      <w:pPr>
        <w:autoSpaceDE w:val="0"/>
        <w:autoSpaceDN w:val="0"/>
        <w:adjustRightInd w:val="0"/>
        <w:snapToGrid w:val="0"/>
        <w:spacing w:line="360" w:lineRule="auto"/>
        <w:jc w:val="left"/>
        <w:rPr>
          <w:rFonts w:hint="eastAsia" w:ascii="宋体" w:hAnsi="宋体" w:cs="宋体"/>
          <w:kern w:val="0"/>
          <w:sz w:val="20"/>
        </w:rPr>
      </w:pPr>
    </w:p>
    <w:p w14:paraId="2DF8B8E6">
      <w:pPr>
        <w:autoSpaceDE w:val="0"/>
        <w:autoSpaceDN w:val="0"/>
        <w:adjustRightInd w:val="0"/>
        <w:snapToGrid w:val="0"/>
        <w:spacing w:line="360" w:lineRule="auto"/>
        <w:jc w:val="left"/>
        <w:rPr>
          <w:rFonts w:hint="eastAsia" w:ascii="宋体" w:hAnsi="宋体" w:cs="宋体"/>
          <w:kern w:val="0"/>
          <w:sz w:val="20"/>
        </w:rPr>
      </w:pPr>
    </w:p>
    <w:p w14:paraId="78C05254">
      <w:pPr>
        <w:autoSpaceDE w:val="0"/>
        <w:autoSpaceDN w:val="0"/>
        <w:adjustRightInd w:val="0"/>
        <w:snapToGrid w:val="0"/>
        <w:spacing w:line="360" w:lineRule="auto"/>
        <w:jc w:val="left"/>
        <w:rPr>
          <w:rFonts w:hint="eastAsia" w:ascii="宋体" w:hAnsi="宋体" w:cs="宋体"/>
          <w:kern w:val="0"/>
          <w:sz w:val="20"/>
        </w:rPr>
      </w:pPr>
    </w:p>
    <w:p w14:paraId="52A3D017">
      <w:pPr>
        <w:tabs>
          <w:tab w:val="left" w:pos="6080"/>
          <w:tab w:val="left" w:pos="6640"/>
        </w:tabs>
        <w:autoSpaceDE w:val="0"/>
        <w:autoSpaceDN w:val="0"/>
        <w:adjustRightInd w:val="0"/>
        <w:snapToGrid w:val="0"/>
        <w:spacing w:line="360" w:lineRule="auto"/>
        <w:ind w:left="774" w:right="403"/>
        <w:jc w:val="left"/>
        <w:rPr>
          <w:rFonts w:hint="eastAsia" w:ascii="宋体" w:hAnsi="宋体" w:cs="宋体"/>
          <w:kern w:val="0"/>
          <w:sz w:val="28"/>
        </w:rPr>
      </w:pPr>
      <w:r>
        <w:rPr>
          <w:rFonts w:hint="eastAsia" w:ascii="宋体" w:hAnsi="宋体" w:cs="宋体"/>
          <w:kern w:val="0"/>
          <w:sz w:val="28"/>
        </w:rPr>
        <w:t>投标人：</w:t>
      </w:r>
      <w:r>
        <w:rPr>
          <w:rFonts w:hint="eastAsia" w:ascii="宋体" w:hAnsi="宋体" w:cs="宋体"/>
          <w:kern w:val="0"/>
          <w:sz w:val="28"/>
          <w:u w:val="single"/>
        </w:rPr>
        <w:t xml:space="preserve">                          </w:t>
      </w:r>
      <w:r>
        <w:rPr>
          <w:rFonts w:hint="eastAsia" w:ascii="宋体" w:hAnsi="宋体" w:cs="宋体"/>
          <w:kern w:val="0"/>
          <w:sz w:val="28"/>
        </w:rPr>
        <w:t>（盖单位公章）</w:t>
      </w:r>
    </w:p>
    <w:p w14:paraId="416B14F1">
      <w:pPr>
        <w:tabs>
          <w:tab w:val="left" w:pos="6080"/>
          <w:tab w:val="left" w:pos="6640"/>
        </w:tabs>
        <w:autoSpaceDE w:val="0"/>
        <w:autoSpaceDN w:val="0"/>
        <w:adjustRightInd w:val="0"/>
        <w:snapToGrid w:val="0"/>
        <w:spacing w:line="360" w:lineRule="auto"/>
        <w:ind w:left="774" w:right="403"/>
        <w:jc w:val="left"/>
        <w:rPr>
          <w:rFonts w:hint="eastAsia" w:ascii="宋体" w:hAnsi="宋体" w:cs="宋体"/>
          <w:kern w:val="0"/>
          <w:sz w:val="28"/>
        </w:rPr>
      </w:pPr>
    </w:p>
    <w:p w14:paraId="7B41AC47">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eastAsia" w:ascii="宋体" w:hAnsi="宋体" w:cs="宋体"/>
          <w:kern w:val="0"/>
          <w:sz w:val="28"/>
        </w:rPr>
      </w:pPr>
      <w:r>
        <w:rPr>
          <w:rFonts w:hint="eastAsia" w:ascii="宋体" w:hAnsi="宋体" w:cs="宋体"/>
          <w:kern w:val="0"/>
          <w:sz w:val="28"/>
          <w:u w:val="single"/>
        </w:rPr>
        <w:t xml:space="preserve">      </w:t>
      </w:r>
      <w:r>
        <w:rPr>
          <w:rFonts w:hint="eastAsia" w:ascii="宋体" w:hAnsi="宋体" w:cs="宋体"/>
          <w:kern w:val="0"/>
          <w:sz w:val="28"/>
        </w:rPr>
        <w:t>年</w:t>
      </w:r>
      <w:r>
        <w:rPr>
          <w:rFonts w:hint="eastAsia" w:ascii="宋体" w:hAnsi="宋体" w:cs="宋体"/>
          <w:kern w:val="0"/>
          <w:sz w:val="28"/>
          <w:u w:val="single"/>
        </w:rPr>
        <w:t xml:space="preserve">   </w:t>
      </w:r>
      <w:r>
        <w:rPr>
          <w:rFonts w:hint="eastAsia" w:ascii="宋体" w:hAnsi="宋体" w:cs="宋体"/>
          <w:kern w:val="0"/>
          <w:sz w:val="28"/>
        </w:rPr>
        <w:t>月</w:t>
      </w:r>
      <w:r>
        <w:rPr>
          <w:rFonts w:hint="eastAsia" w:ascii="宋体" w:hAnsi="宋体" w:cs="宋体"/>
          <w:kern w:val="0"/>
          <w:sz w:val="28"/>
          <w:u w:val="single"/>
        </w:rPr>
        <w:t xml:space="preserve">   </w:t>
      </w:r>
      <w:r>
        <w:rPr>
          <w:rFonts w:hint="eastAsia" w:ascii="宋体" w:hAnsi="宋体" w:cs="宋体"/>
          <w:kern w:val="0"/>
          <w:sz w:val="28"/>
        </w:rPr>
        <w:t>日</w:t>
      </w:r>
    </w:p>
    <w:p w14:paraId="6CBA49F4">
      <w:pPr>
        <w:spacing w:line="360" w:lineRule="auto"/>
        <w:jc w:val="center"/>
        <w:rPr>
          <w:rFonts w:hint="eastAsia" w:ascii="宋体" w:hAnsi="宋体" w:cs="宋体"/>
          <w:b/>
          <w:spacing w:val="20"/>
          <w:szCs w:val="21"/>
        </w:rPr>
      </w:pPr>
      <w:r>
        <w:rPr>
          <w:rFonts w:hint="eastAsia" w:ascii="宋体" w:hAnsi="宋体" w:cs="宋体"/>
          <w:b/>
          <w:spacing w:val="20"/>
          <w:szCs w:val="21"/>
        </w:rPr>
        <w:br w:type="page"/>
      </w:r>
      <w:r>
        <w:rPr>
          <w:rFonts w:hint="eastAsia" w:ascii="宋体" w:hAnsi="宋体" w:cs="宋体"/>
          <w:b/>
          <w:spacing w:val="20"/>
          <w:szCs w:val="21"/>
        </w:rPr>
        <w:t>商务文件</w:t>
      </w:r>
    </w:p>
    <w:p w14:paraId="0D1BBC3C">
      <w:pPr>
        <w:pStyle w:val="2"/>
        <w:ind w:firstLine="0" w:firstLineChars="0"/>
        <w:jc w:val="center"/>
        <w:rPr>
          <w:rFonts w:hint="eastAsia" w:ascii="宋体" w:hAnsi="宋体" w:cs="宋体"/>
        </w:rPr>
      </w:pPr>
      <w:r>
        <w:rPr>
          <w:rFonts w:hint="eastAsia" w:ascii="宋体" w:hAnsi="宋体" w:cs="宋体"/>
        </w:rPr>
        <w:t>一、投标保证金缴纳证明（如有）</w:t>
      </w:r>
    </w:p>
    <w:p w14:paraId="095AD733">
      <w:pPr>
        <w:pStyle w:val="55"/>
        <w:spacing w:after="120" w:line="360" w:lineRule="auto"/>
        <w:jc w:val="center"/>
        <w:rPr>
          <w:rFonts w:hAnsi="宋体" w:cs="宋体"/>
          <w:szCs w:val="21"/>
        </w:rPr>
      </w:pPr>
      <w:r>
        <w:rPr>
          <w:rFonts w:hAnsi="宋体" w:cs="宋体"/>
          <w:szCs w:val="21"/>
        </w:rPr>
        <w:t>（复印件加盖投标人公章）</w:t>
      </w:r>
    </w:p>
    <w:p w14:paraId="244C64B0">
      <w:pPr>
        <w:pStyle w:val="55"/>
        <w:spacing w:after="120" w:line="360" w:lineRule="auto"/>
        <w:ind w:firstLine="562"/>
        <w:jc w:val="center"/>
        <w:rPr>
          <w:rFonts w:hAnsi="宋体" w:cs="宋体"/>
          <w:b/>
          <w:spacing w:val="20"/>
          <w:szCs w:val="21"/>
        </w:rPr>
      </w:pPr>
    </w:p>
    <w:p w14:paraId="462BC8C0">
      <w:pPr>
        <w:pStyle w:val="55"/>
        <w:spacing w:after="120" w:line="360" w:lineRule="auto"/>
        <w:ind w:firstLine="562"/>
        <w:jc w:val="center"/>
        <w:rPr>
          <w:rFonts w:hAnsi="宋体" w:cs="宋体"/>
          <w:b/>
          <w:spacing w:val="20"/>
          <w:szCs w:val="21"/>
        </w:rPr>
      </w:pPr>
    </w:p>
    <w:p w14:paraId="17852D0C">
      <w:pPr>
        <w:spacing w:line="360" w:lineRule="auto"/>
        <w:jc w:val="center"/>
        <w:outlineLvl w:val="1"/>
        <w:rPr>
          <w:rFonts w:hint="eastAsia" w:ascii="宋体" w:hAnsi="宋体" w:cs="宋体"/>
          <w:b/>
        </w:rPr>
      </w:pPr>
      <w:r>
        <w:rPr>
          <w:rFonts w:hint="eastAsia" w:ascii="宋体" w:hAnsi="宋体" w:cs="宋体"/>
        </w:rPr>
        <w:t>二、</w:t>
      </w:r>
      <w:r>
        <w:rPr>
          <w:rFonts w:hint="eastAsia" w:ascii="宋体" w:hAnsi="宋体" w:cs="宋体"/>
          <w:b/>
        </w:rPr>
        <w:t>法定代表人资格证明书及授权书委托格式</w:t>
      </w:r>
    </w:p>
    <w:p w14:paraId="4124A3B1">
      <w:pPr>
        <w:spacing w:line="360" w:lineRule="auto"/>
        <w:rPr>
          <w:rFonts w:hint="eastAsia" w:ascii="宋体" w:hAnsi="宋体" w:cs="宋体"/>
        </w:rPr>
      </w:pPr>
    </w:p>
    <w:p w14:paraId="2D7193CD">
      <w:pPr>
        <w:adjustRightInd w:val="0"/>
        <w:snapToGrid w:val="0"/>
        <w:spacing w:line="360" w:lineRule="auto"/>
        <w:ind w:firstLine="643"/>
        <w:jc w:val="center"/>
        <w:rPr>
          <w:rFonts w:hint="eastAsia" w:ascii="宋体" w:hAnsi="宋体" w:cs="宋体"/>
          <w:b/>
          <w:bCs/>
          <w:sz w:val="32"/>
          <w:szCs w:val="20"/>
        </w:rPr>
      </w:pPr>
      <w:r>
        <w:rPr>
          <w:rFonts w:hint="eastAsia" w:ascii="宋体" w:hAnsi="宋体" w:cs="宋体"/>
          <w:b/>
          <w:bCs/>
          <w:sz w:val="32"/>
          <w:szCs w:val="20"/>
        </w:rPr>
        <w:t>法定代表人资格证明书</w:t>
      </w:r>
    </w:p>
    <w:p w14:paraId="556E8750">
      <w:pPr>
        <w:adjustRightInd w:val="0"/>
        <w:spacing w:line="360" w:lineRule="auto"/>
        <w:ind w:firstLine="480" w:firstLineChars="229"/>
        <w:rPr>
          <w:rFonts w:hint="eastAsia" w:ascii="宋体" w:hAnsi="宋体" w:cs="宋体"/>
          <w:szCs w:val="20"/>
          <w:u w:val="single"/>
        </w:rPr>
      </w:pPr>
      <w:r>
        <w:rPr>
          <w:rFonts w:hint="eastAsia" w:ascii="宋体" w:hAnsi="宋体" w:cs="宋体"/>
          <w:szCs w:val="20"/>
          <w:u w:val="single"/>
        </w:rPr>
        <w:t xml:space="preserve">（招标人单位名称）：         </w:t>
      </w:r>
    </w:p>
    <w:p w14:paraId="7518CBD2">
      <w:pPr>
        <w:adjustRightInd w:val="0"/>
        <w:spacing w:line="360" w:lineRule="auto"/>
        <w:ind w:firstLine="482"/>
        <w:rPr>
          <w:rFonts w:hint="eastAsia" w:ascii="宋体" w:hAnsi="宋体" w:cs="宋体"/>
          <w:szCs w:val="20"/>
          <w:u w:val="single"/>
        </w:rPr>
      </w:pPr>
      <w:r>
        <w:rPr>
          <w:rFonts w:hint="eastAsia" w:ascii="宋体" w:hAnsi="宋体" w:cs="宋体"/>
          <w:szCs w:val="20"/>
          <w:u w:val="single"/>
        </w:rPr>
        <w:t>浙江省成套招标代理有限公司：</w:t>
      </w:r>
    </w:p>
    <w:p w14:paraId="0E471076">
      <w:pPr>
        <w:adjustRightInd w:val="0"/>
        <w:spacing w:line="360" w:lineRule="auto"/>
        <w:ind w:firstLine="482"/>
        <w:rPr>
          <w:rFonts w:hint="eastAsia" w:ascii="宋体" w:hAnsi="宋体" w:cs="宋体"/>
          <w:szCs w:val="20"/>
        </w:rPr>
      </w:pPr>
    </w:p>
    <w:p w14:paraId="6A8F8A2E">
      <w:pPr>
        <w:widowControl/>
        <w:autoSpaceDE w:val="0"/>
        <w:autoSpaceDN w:val="0"/>
        <w:adjustRightInd w:val="0"/>
        <w:snapToGrid w:val="0"/>
        <w:spacing w:line="360" w:lineRule="auto"/>
        <w:ind w:firstLine="420" w:firstLineChars="200"/>
        <w:textAlignment w:val="bottom"/>
        <w:rPr>
          <w:rFonts w:hint="eastAsia" w:ascii="宋体" w:hAnsi="宋体" w:cs="宋体"/>
          <w:snapToGrid w:val="0"/>
          <w:kern w:val="0"/>
          <w:szCs w:val="21"/>
        </w:rPr>
      </w:pPr>
      <w:r>
        <w:rPr>
          <w:rFonts w:hint="eastAsia" w:ascii="宋体" w:hAnsi="宋体" w:cs="宋体"/>
          <w:snapToGrid w:val="0"/>
          <w:kern w:val="0"/>
          <w:szCs w:val="21"/>
          <w:u w:val="single"/>
        </w:rPr>
        <w:t xml:space="preserve">     （姓名）    </w:t>
      </w:r>
      <w:r>
        <w:rPr>
          <w:rFonts w:hint="eastAsia" w:ascii="宋体" w:hAnsi="宋体" w:cs="宋体"/>
          <w:snapToGrid w:val="0"/>
          <w:kern w:val="0"/>
          <w:szCs w:val="21"/>
        </w:rPr>
        <w:t>系</w:t>
      </w:r>
      <w:r>
        <w:rPr>
          <w:rFonts w:hint="eastAsia" w:ascii="宋体" w:hAnsi="宋体" w:cs="宋体"/>
          <w:snapToGrid w:val="0"/>
          <w:kern w:val="0"/>
          <w:szCs w:val="21"/>
          <w:u w:val="single"/>
        </w:rPr>
        <w:t xml:space="preserve">  （单位名称）  </w:t>
      </w:r>
      <w:r>
        <w:rPr>
          <w:rFonts w:hint="eastAsia" w:ascii="宋体" w:hAnsi="宋体" w:cs="宋体"/>
          <w:snapToGrid w:val="0"/>
          <w:kern w:val="0"/>
          <w:szCs w:val="21"/>
        </w:rPr>
        <w:t>的法定代表人，</w:t>
      </w:r>
      <w:r>
        <w:rPr>
          <w:rFonts w:hint="eastAsia" w:ascii="宋体" w:hAnsi="宋体" w:cs="宋体"/>
          <w:snapToGrid w:val="0"/>
          <w:kern w:val="0"/>
          <w:szCs w:val="21"/>
          <w:u w:val="single"/>
        </w:rPr>
        <w:t xml:space="preserve">   （身份证号）     </w:t>
      </w:r>
      <w:r>
        <w:rPr>
          <w:rFonts w:hint="eastAsia" w:ascii="宋体" w:hAnsi="宋体" w:cs="宋体"/>
          <w:snapToGrid w:val="0"/>
          <w:kern w:val="0"/>
          <w:szCs w:val="21"/>
        </w:rPr>
        <w:t>。</w:t>
      </w:r>
    </w:p>
    <w:p w14:paraId="5A819C83">
      <w:pPr>
        <w:widowControl/>
        <w:autoSpaceDE w:val="0"/>
        <w:autoSpaceDN w:val="0"/>
        <w:adjustRightInd w:val="0"/>
        <w:snapToGrid w:val="0"/>
        <w:spacing w:line="360" w:lineRule="auto"/>
        <w:ind w:firstLine="420" w:firstLineChars="200"/>
        <w:textAlignment w:val="bottom"/>
        <w:rPr>
          <w:rFonts w:hint="eastAsia" w:ascii="宋体" w:hAnsi="宋体" w:cs="宋体"/>
          <w:snapToGrid w:val="0"/>
          <w:kern w:val="0"/>
          <w:szCs w:val="21"/>
        </w:rPr>
      </w:pPr>
      <w:r>
        <w:rPr>
          <w:rFonts w:hint="eastAsia" w:ascii="宋体" w:hAnsi="宋体" w:cs="宋体"/>
          <w:snapToGrid w:val="0"/>
          <w:kern w:val="0"/>
          <w:szCs w:val="21"/>
        </w:rPr>
        <w:t>特此证明。</w:t>
      </w:r>
    </w:p>
    <w:p w14:paraId="3264A8F7">
      <w:pPr>
        <w:widowControl/>
        <w:autoSpaceDE w:val="0"/>
        <w:autoSpaceDN w:val="0"/>
        <w:adjustRightInd w:val="0"/>
        <w:snapToGrid w:val="0"/>
        <w:spacing w:line="360" w:lineRule="auto"/>
        <w:ind w:firstLine="420" w:firstLineChars="200"/>
        <w:textAlignment w:val="bottom"/>
        <w:rPr>
          <w:rFonts w:hint="eastAsia" w:ascii="宋体" w:hAnsi="宋体" w:cs="宋体"/>
          <w:snapToGrid w:val="0"/>
          <w:kern w:val="0"/>
          <w:szCs w:val="21"/>
        </w:rPr>
      </w:pPr>
      <w:r>
        <w:rPr>
          <w:rFonts w:hint="eastAsia" w:ascii="宋体" w:hAnsi="宋体" w:cs="宋体"/>
          <w:snapToGrid w:val="0"/>
          <w:kern w:val="0"/>
          <w:szCs w:val="21"/>
        </w:rPr>
        <w:t>投标人：（盖单位公章）</w:t>
      </w:r>
    </w:p>
    <w:p w14:paraId="5309EFAC">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345CF9B1">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附：</w:t>
      </w:r>
    </w:p>
    <w:p w14:paraId="7336F364">
      <w:pPr>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法定代表人联系方式、身份证复印件（正反两面）</w:t>
      </w:r>
    </w:p>
    <w:p w14:paraId="7364D9DB">
      <w:pPr>
        <w:adjustRightInd w:val="0"/>
        <w:snapToGrid w:val="0"/>
        <w:spacing w:line="360" w:lineRule="auto"/>
        <w:ind w:firstLine="422" w:firstLineChars="200"/>
        <w:rPr>
          <w:rFonts w:hint="eastAsia" w:ascii="宋体" w:hAnsi="宋体" w:cs="宋体"/>
          <w:b/>
          <w:snapToGrid w:val="0"/>
          <w:kern w:val="0"/>
          <w:szCs w:val="21"/>
        </w:rPr>
      </w:pPr>
      <w:r>
        <w:rPr>
          <w:rFonts w:hint="eastAsia" w:ascii="宋体" w:hAnsi="宋体" w:cs="宋体"/>
          <w:b/>
          <w:snapToGrid w:val="0"/>
          <w:kern w:val="0"/>
          <w:szCs w:val="21"/>
        </w:rPr>
        <w:t>注：法定代表人直接签署投标文件并参加投标的，在投标文件中出具此资格证明书及身份证复印件。</w:t>
      </w:r>
    </w:p>
    <w:p w14:paraId="7FC625C5">
      <w:pPr>
        <w:adjustRightInd w:val="0"/>
        <w:snapToGrid w:val="0"/>
        <w:spacing w:line="360" w:lineRule="auto"/>
        <w:ind w:firstLine="420" w:firstLineChars="200"/>
        <w:rPr>
          <w:rFonts w:hint="eastAsia" w:ascii="宋体" w:hAnsi="宋体" w:cs="宋体"/>
        </w:rPr>
      </w:pPr>
    </w:p>
    <w:p w14:paraId="0F10087B">
      <w:pPr>
        <w:adjustRightInd w:val="0"/>
        <w:snapToGrid w:val="0"/>
        <w:spacing w:line="360" w:lineRule="auto"/>
        <w:ind w:firstLine="643"/>
        <w:jc w:val="center"/>
        <w:rPr>
          <w:rFonts w:hint="eastAsia" w:ascii="宋体" w:hAnsi="宋体" w:cs="宋体"/>
          <w:b/>
          <w:bCs/>
          <w:sz w:val="32"/>
          <w:szCs w:val="20"/>
        </w:rPr>
      </w:pPr>
      <w:r>
        <w:rPr>
          <w:rFonts w:hint="eastAsia" w:ascii="宋体" w:hAnsi="宋体" w:cs="宋体"/>
          <w:b/>
          <w:bCs/>
          <w:sz w:val="32"/>
          <w:szCs w:val="20"/>
        </w:rPr>
        <w:br w:type="page"/>
      </w:r>
      <w:r>
        <w:rPr>
          <w:rFonts w:hint="eastAsia" w:ascii="宋体" w:hAnsi="宋体" w:cs="宋体"/>
          <w:b/>
          <w:bCs/>
          <w:sz w:val="32"/>
          <w:szCs w:val="20"/>
        </w:rPr>
        <w:t>法定代表人授权委托书</w:t>
      </w:r>
    </w:p>
    <w:p w14:paraId="2B811625">
      <w:pPr>
        <w:adjustRightInd w:val="0"/>
        <w:spacing w:line="360" w:lineRule="auto"/>
        <w:ind w:firstLine="420" w:firstLineChars="200"/>
        <w:rPr>
          <w:rFonts w:hint="eastAsia" w:ascii="宋体" w:hAnsi="宋体" w:cs="宋体"/>
          <w:szCs w:val="20"/>
          <w:u w:val="single"/>
        </w:rPr>
      </w:pPr>
      <w:r>
        <w:rPr>
          <w:rFonts w:hint="eastAsia" w:ascii="宋体" w:hAnsi="宋体" w:cs="宋体"/>
          <w:szCs w:val="20"/>
          <w:u w:val="single"/>
        </w:rPr>
        <w:t>浙江省二轻集团有限责任公司：</w:t>
      </w:r>
    </w:p>
    <w:p w14:paraId="453D7DF3">
      <w:pPr>
        <w:adjustRightInd w:val="0"/>
        <w:spacing w:line="360" w:lineRule="auto"/>
        <w:ind w:firstLine="420" w:firstLineChars="200"/>
        <w:rPr>
          <w:rFonts w:hint="eastAsia" w:ascii="宋体" w:hAnsi="宋体" w:cs="宋体"/>
          <w:szCs w:val="20"/>
          <w:u w:val="single"/>
        </w:rPr>
      </w:pPr>
      <w:r>
        <w:rPr>
          <w:rFonts w:hint="eastAsia" w:ascii="宋体" w:hAnsi="宋体" w:cs="宋体"/>
          <w:szCs w:val="20"/>
          <w:u w:val="single"/>
        </w:rPr>
        <w:t>浙江省成套招标代理有限公司：</w:t>
      </w:r>
    </w:p>
    <w:p w14:paraId="4ACC280B">
      <w:pPr>
        <w:spacing w:line="360" w:lineRule="auto"/>
        <w:ind w:firstLine="420" w:firstLineChars="200"/>
        <w:rPr>
          <w:rFonts w:hint="eastAsia" w:ascii="宋体" w:hAnsi="宋体" w:cs="宋体"/>
          <w:szCs w:val="20"/>
        </w:rPr>
      </w:pPr>
      <w:r>
        <w:rPr>
          <w:rFonts w:hint="eastAsia" w:ascii="宋体" w:hAnsi="宋体" w:cs="宋体"/>
          <w:szCs w:val="20"/>
        </w:rPr>
        <w:t>我以</w:t>
      </w:r>
      <w:r>
        <w:rPr>
          <w:rFonts w:hint="eastAsia" w:ascii="宋体" w:hAnsi="宋体" w:cs="宋体"/>
          <w:szCs w:val="20"/>
          <w:u w:val="single"/>
        </w:rPr>
        <w:t xml:space="preserve">        （投标人全称）    </w:t>
      </w:r>
      <w:r>
        <w:rPr>
          <w:rFonts w:hint="eastAsia" w:ascii="宋体" w:hAnsi="宋体" w:cs="宋体"/>
          <w:szCs w:val="20"/>
        </w:rPr>
        <w:t>法定代表人的身份授权</w:t>
      </w:r>
      <w:r>
        <w:rPr>
          <w:rFonts w:hint="eastAsia" w:ascii="宋体" w:hAnsi="宋体" w:cs="宋体"/>
          <w:szCs w:val="20"/>
          <w:u w:val="single"/>
        </w:rPr>
        <w:t xml:space="preserve">（全权代表姓名） </w:t>
      </w:r>
      <w:r>
        <w:rPr>
          <w:rFonts w:hint="eastAsia" w:ascii="宋体" w:hAnsi="宋体" w:cs="宋体"/>
          <w:szCs w:val="20"/>
        </w:rPr>
        <w:t>，为我单位的全权代表，参加贵处组织的</w:t>
      </w:r>
      <w:r>
        <w:rPr>
          <w:rFonts w:hint="eastAsia" w:ascii="宋体" w:hAnsi="宋体" w:cs="宋体"/>
          <w:szCs w:val="20"/>
          <w:u w:val="single"/>
        </w:rPr>
        <w:t xml:space="preserve">  （项目名称） </w:t>
      </w:r>
      <w:r>
        <w:rPr>
          <w:rFonts w:hint="eastAsia" w:ascii="宋体" w:hAnsi="宋体" w:cs="宋体"/>
          <w:szCs w:val="20"/>
        </w:rPr>
        <w:t>（</w:t>
      </w:r>
      <w:r>
        <w:rPr>
          <w:rFonts w:hint="eastAsia" w:ascii="宋体" w:hAnsi="宋体" w:cs="宋体"/>
          <w:szCs w:val="20"/>
          <w:u w:val="single"/>
        </w:rPr>
        <w:t>招标项目编号</w:t>
      </w:r>
      <w:r>
        <w:rPr>
          <w:rFonts w:hint="eastAsia" w:ascii="宋体" w:hAnsi="宋体" w:cs="宋体"/>
          <w:szCs w:val="20"/>
        </w:rPr>
        <w:t>）的招标，签署本项目相关投标文件并全权处理投标活动中的一切事宜。我单位承认全权代表做出的与本项目招投标活动有关的全部行为。</w:t>
      </w:r>
    </w:p>
    <w:p w14:paraId="6A4E22C2">
      <w:pPr>
        <w:spacing w:line="360" w:lineRule="auto"/>
        <w:ind w:firstLine="420" w:firstLineChars="200"/>
        <w:rPr>
          <w:rFonts w:hint="eastAsia" w:ascii="宋体" w:hAnsi="宋体" w:cs="宋体"/>
          <w:szCs w:val="20"/>
          <w:u w:val="single"/>
        </w:rPr>
      </w:pPr>
      <w:r>
        <w:rPr>
          <w:rFonts w:hint="eastAsia" w:ascii="宋体" w:hAnsi="宋体" w:cs="宋体"/>
          <w:szCs w:val="20"/>
        </w:rPr>
        <w:t>有效期至：</w:t>
      </w:r>
      <w:r>
        <w:rPr>
          <w:rFonts w:hint="eastAsia" w:ascii="宋体" w:hAnsi="宋体" w:cs="宋体"/>
          <w:szCs w:val="20"/>
          <w:u w:val="single"/>
        </w:rPr>
        <w:t xml:space="preserve">             </w:t>
      </w:r>
      <w:r>
        <w:rPr>
          <w:rFonts w:hint="eastAsia" w:ascii="宋体" w:hAnsi="宋体" w:cs="宋体"/>
          <w:szCs w:val="20"/>
        </w:rPr>
        <w:t>。</w:t>
      </w:r>
    </w:p>
    <w:p w14:paraId="432C7B23">
      <w:pPr>
        <w:spacing w:line="360" w:lineRule="auto"/>
        <w:ind w:firstLine="420" w:firstLineChars="200"/>
        <w:rPr>
          <w:rFonts w:hint="eastAsia" w:ascii="宋体" w:hAnsi="宋体" w:cs="宋体"/>
          <w:szCs w:val="20"/>
        </w:rPr>
      </w:pPr>
      <w:r>
        <w:rPr>
          <w:rFonts w:hint="eastAsia" w:ascii="宋体" w:hAnsi="宋体" w:cs="宋体"/>
          <w:szCs w:val="20"/>
        </w:rPr>
        <w:t>投标人全称（盖单位公章）：</w:t>
      </w:r>
    </w:p>
    <w:p w14:paraId="57011EDD">
      <w:pPr>
        <w:spacing w:line="360" w:lineRule="auto"/>
        <w:ind w:firstLine="420" w:firstLineChars="200"/>
        <w:rPr>
          <w:rFonts w:hint="eastAsia" w:ascii="宋体" w:hAnsi="宋体" w:cs="宋体"/>
          <w:szCs w:val="20"/>
        </w:rPr>
      </w:pPr>
      <w:r>
        <w:rPr>
          <w:rFonts w:hint="eastAsia" w:ascii="宋体" w:hAnsi="宋体" w:cs="宋体"/>
          <w:szCs w:val="20"/>
        </w:rPr>
        <w:t>法定代表人（签字或盖章）：</w:t>
      </w:r>
    </w:p>
    <w:p w14:paraId="5EE98E74">
      <w:pPr>
        <w:spacing w:line="360" w:lineRule="auto"/>
        <w:ind w:firstLine="420" w:firstLineChars="200"/>
        <w:rPr>
          <w:rFonts w:hint="eastAsia" w:ascii="宋体" w:hAnsi="宋体" w:cs="宋体"/>
          <w:szCs w:val="20"/>
        </w:rPr>
      </w:pPr>
      <w:r>
        <w:rPr>
          <w:rFonts w:hint="eastAsia" w:ascii="宋体" w:hAnsi="宋体" w:cs="宋体"/>
          <w:szCs w:val="20"/>
        </w:rPr>
        <w:t>电话：</w:t>
      </w:r>
    </w:p>
    <w:p w14:paraId="3359A503">
      <w:pPr>
        <w:spacing w:line="360" w:lineRule="auto"/>
        <w:ind w:firstLine="420" w:firstLineChars="200"/>
        <w:rPr>
          <w:rFonts w:hint="eastAsia" w:ascii="宋体" w:hAnsi="宋体" w:cs="宋体"/>
          <w:szCs w:val="20"/>
        </w:rPr>
      </w:pPr>
      <w:r>
        <w:rPr>
          <w:rFonts w:hint="eastAsia" w:ascii="宋体" w:hAnsi="宋体" w:cs="宋体"/>
          <w:szCs w:val="20"/>
        </w:rPr>
        <w:t>日期：</w:t>
      </w:r>
    </w:p>
    <w:p w14:paraId="6204020B">
      <w:pPr>
        <w:spacing w:line="360" w:lineRule="auto"/>
        <w:ind w:firstLine="480"/>
        <w:rPr>
          <w:rFonts w:hint="eastAsia" w:ascii="宋体" w:hAnsi="宋体" w:cs="宋体"/>
          <w:szCs w:val="20"/>
        </w:rPr>
      </w:pPr>
      <w:r>
        <w:rPr>
          <w:rFonts w:hint="eastAsia" w:ascii="宋体" w:hAnsi="宋体" w:cs="宋体"/>
          <w:szCs w:val="20"/>
        </w:rPr>
        <w:t>附：</w:t>
      </w:r>
    </w:p>
    <w:p w14:paraId="334FA34D">
      <w:pPr>
        <w:spacing w:line="360" w:lineRule="auto"/>
        <w:ind w:firstLine="480"/>
        <w:rPr>
          <w:rFonts w:hint="eastAsia" w:ascii="宋体" w:hAnsi="宋体" w:cs="宋体"/>
          <w:szCs w:val="20"/>
        </w:rPr>
      </w:pPr>
      <w:r>
        <w:rPr>
          <w:rFonts w:hint="eastAsia" w:ascii="宋体" w:hAnsi="宋体" w:cs="宋体"/>
          <w:szCs w:val="20"/>
        </w:rPr>
        <w:t>全权代表姓名：              职  务：         电  话：</w:t>
      </w:r>
    </w:p>
    <w:p w14:paraId="6FCDAA1F">
      <w:pPr>
        <w:spacing w:after="0"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全权代表身份证复印件（正反两面）：</w:t>
      </w:r>
    </w:p>
    <w:p w14:paraId="7609FD59">
      <w:pPr>
        <w:spacing w:after="0" w:line="360" w:lineRule="auto"/>
        <w:ind w:firstLine="422" w:firstLineChars="200"/>
        <w:rPr>
          <w:rFonts w:hint="eastAsia" w:ascii="宋体" w:hAnsi="宋体" w:cs="宋体"/>
          <w:b/>
          <w:bCs/>
          <w:szCs w:val="21"/>
          <w:lang w:val="en-US" w:eastAsia="zh-CN"/>
        </w:rPr>
      </w:pPr>
    </w:p>
    <w:p w14:paraId="17381682">
      <w:pPr>
        <w:spacing w:after="0" w:line="360" w:lineRule="auto"/>
        <w:ind w:left="840" w:leftChars="200" w:hanging="420" w:hangingChars="199"/>
        <w:rPr>
          <w:rFonts w:hint="eastAsia" w:ascii="宋体" w:hAnsi="宋体" w:cs="宋体"/>
          <w:b/>
          <w:bCs/>
          <w:szCs w:val="21"/>
          <w:lang w:val="en-US" w:eastAsia="zh-CN"/>
        </w:rPr>
      </w:pPr>
      <w:r>
        <w:rPr>
          <w:rFonts w:hint="eastAsia" w:ascii="宋体" w:hAnsi="宋体" w:cs="宋体"/>
          <w:b/>
          <w:bCs/>
          <w:szCs w:val="21"/>
          <w:lang w:val="en-US" w:eastAsia="zh-CN"/>
        </w:rPr>
        <w:t>注：法定代表人授权其公司员工签署及参加投标的，在投标文件中同时出具法定代表人资格证明书及此授权书，并附身份证复印件。</w:t>
      </w:r>
    </w:p>
    <w:p w14:paraId="2CC25B3C">
      <w:pPr>
        <w:spacing w:after="0" w:line="360" w:lineRule="auto"/>
        <w:ind w:left="840" w:leftChars="400" w:firstLine="0" w:firstLineChars="0"/>
        <w:rPr>
          <w:rFonts w:hint="eastAsia" w:ascii="宋体" w:hAnsi="宋体" w:cs="宋体"/>
          <w:b/>
          <w:bCs/>
          <w:szCs w:val="21"/>
          <w:lang w:val="en-US" w:eastAsia="zh-CN"/>
        </w:rPr>
      </w:pPr>
      <w:r>
        <w:rPr>
          <w:rFonts w:hint="eastAsia" w:ascii="宋体" w:hAnsi="宋体" w:cs="宋体"/>
          <w:b/>
          <w:bCs/>
          <w:szCs w:val="21"/>
          <w:lang w:val="en-US" w:eastAsia="zh-CN"/>
        </w:rPr>
        <w:t>投标文件格式中所提到的投标文件签署人是指以上两文件确定的签署人员。</w:t>
      </w:r>
    </w:p>
    <w:p w14:paraId="5B7C3DA8">
      <w:pPr>
        <w:spacing w:after="0" w:line="360" w:lineRule="auto"/>
        <w:ind w:left="840" w:leftChars="400" w:firstLine="0" w:firstLineChars="0"/>
        <w:rPr>
          <w:rFonts w:hint="eastAsia" w:ascii="宋体" w:hAnsi="宋体" w:cs="宋体"/>
          <w:b/>
          <w:bCs/>
          <w:szCs w:val="21"/>
          <w:lang w:val="en-US" w:eastAsia="zh-CN"/>
        </w:rPr>
      </w:pPr>
      <w:r>
        <w:rPr>
          <w:rFonts w:hint="eastAsia" w:ascii="宋体" w:hAnsi="宋体" w:cs="宋体"/>
          <w:b/>
          <w:bCs/>
          <w:szCs w:val="21"/>
          <w:lang w:val="en-US" w:eastAsia="zh-CN"/>
        </w:rPr>
        <w:t>如参加开标并在开评标过程中签署文件的人员与投标文件签署人不一致，须另行提供授权书。</w:t>
      </w:r>
    </w:p>
    <w:p w14:paraId="72FF08C8">
      <w:pPr>
        <w:spacing w:line="360" w:lineRule="auto"/>
        <w:jc w:val="center"/>
        <w:rPr>
          <w:rFonts w:hint="eastAsia" w:ascii="宋体" w:hAnsi="宋体" w:cs="宋体"/>
          <w:b/>
          <w:spacing w:val="20"/>
          <w:szCs w:val="21"/>
        </w:rPr>
      </w:pPr>
      <w:r>
        <w:rPr>
          <w:rFonts w:hint="eastAsia" w:ascii="宋体" w:hAnsi="宋体" w:cs="宋体"/>
          <w:b/>
          <w:spacing w:val="20"/>
          <w:szCs w:val="21"/>
        </w:rPr>
        <w:br w:type="page"/>
      </w:r>
    </w:p>
    <w:p w14:paraId="563B63E3">
      <w:pPr>
        <w:pStyle w:val="2"/>
        <w:ind w:firstLine="422"/>
        <w:jc w:val="center"/>
        <w:rPr>
          <w:rFonts w:hint="eastAsia" w:ascii="宋体" w:hAnsi="宋体" w:cs="宋体"/>
        </w:rPr>
      </w:pPr>
      <w:r>
        <w:rPr>
          <w:rFonts w:hint="eastAsia" w:ascii="宋体" w:hAnsi="宋体" w:cs="宋体"/>
        </w:rPr>
        <w:t>三、声明书</w:t>
      </w:r>
    </w:p>
    <w:p w14:paraId="74C995C4">
      <w:pPr>
        <w:spacing w:line="360" w:lineRule="auto"/>
        <w:rPr>
          <w:rFonts w:hint="eastAsia" w:ascii="宋体" w:hAnsi="宋体" w:cs="宋体"/>
          <w:spacing w:val="20"/>
          <w:szCs w:val="21"/>
        </w:rPr>
      </w:pPr>
    </w:p>
    <w:p w14:paraId="71035650">
      <w:pPr>
        <w:spacing w:after="0" w:line="360" w:lineRule="auto"/>
        <w:rPr>
          <w:rFonts w:hint="eastAsia" w:ascii="宋体" w:hAnsi="宋体" w:cs="宋体"/>
          <w:szCs w:val="21"/>
          <w:lang w:val="en-US" w:eastAsia="zh-CN"/>
        </w:rPr>
      </w:pPr>
      <w:r>
        <w:rPr>
          <w:rFonts w:hint="eastAsia" w:ascii="宋体" w:hAnsi="宋体" w:cs="宋体"/>
          <w:szCs w:val="21"/>
          <w:lang w:val="en-US" w:eastAsia="zh-CN"/>
        </w:rPr>
        <w:t>浙江省二轻集团有限责任公司、浙江省成套招标代理有限公司：</w:t>
      </w:r>
    </w:p>
    <w:p w14:paraId="58BB75CA">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本单位自愿参加“     招标项目”（编号：     ）项目的投标，并保证投标文件中所列举的投标报价文件及相关资料和公司基本情况资料是真实的、合法的。</w:t>
      </w:r>
    </w:p>
    <w:p w14:paraId="789B4CA1">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同意此次招标文件中的各项内容。</w:t>
      </w:r>
    </w:p>
    <w:p w14:paraId="3FABF6B9">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同意提供按照贵方可能要求的与投标有关的一切数据或资料等。</w:t>
      </w:r>
    </w:p>
    <w:p w14:paraId="7D47F354">
      <w:pPr>
        <w:spacing w:after="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本单位如中标，保证按照投标文件的承诺与贵方签订合同，保证履行合同条款。</w:t>
      </w:r>
    </w:p>
    <w:p w14:paraId="21A85771">
      <w:pPr>
        <w:spacing w:line="360" w:lineRule="auto"/>
        <w:jc w:val="center"/>
        <w:rPr>
          <w:rFonts w:hint="eastAsia" w:ascii="宋体" w:hAnsi="宋体" w:cs="宋体"/>
          <w:spacing w:val="20"/>
          <w:szCs w:val="21"/>
        </w:rPr>
      </w:pPr>
    </w:p>
    <w:p w14:paraId="5EB98683">
      <w:pPr>
        <w:pStyle w:val="18"/>
        <w:adjustRightInd w:val="0"/>
        <w:snapToGrid w:val="0"/>
        <w:spacing w:line="360" w:lineRule="auto"/>
        <w:ind w:firstLine="480"/>
        <w:rPr>
          <w:rFonts w:hint="eastAsia" w:hAnsi="宋体" w:cs="宋体"/>
        </w:rPr>
      </w:pPr>
      <w:r>
        <w:rPr>
          <w:rFonts w:hint="eastAsia" w:hAnsi="宋体" w:cs="宋体"/>
        </w:rPr>
        <w:t>投标人全称（盖单位公章）：</w:t>
      </w:r>
      <w:r>
        <w:rPr>
          <w:rFonts w:hint="eastAsia" w:hAnsi="宋体" w:cs="宋体"/>
          <w:u w:val="single"/>
        </w:rPr>
        <w:t xml:space="preserve">         </w:t>
      </w:r>
    </w:p>
    <w:p w14:paraId="2DEF2966">
      <w:pPr>
        <w:pStyle w:val="18"/>
        <w:adjustRightInd w:val="0"/>
        <w:snapToGrid w:val="0"/>
        <w:spacing w:line="360" w:lineRule="auto"/>
        <w:ind w:firstLine="480"/>
        <w:rPr>
          <w:rFonts w:hint="eastAsia" w:hAnsi="宋体" w:cs="宋体"/>
          <w:kern w:val="0"/>
          <w:szCs w:val="21"/>
        </w:rPr>
      </w:pPr>
      <w:r>
        <w:rPr>
          <w:rFonts w:hint="eastAsia" w:hAnsi="宋体" w:cs="宋体"/>
        </w:rPr>
        <w:t>日期：</w:t>
      </w:r>
      <w:r>
        <w:rPr>
          <w:rFonts w:hint="eastAsia" w:hAnsi="宋体" w:cs="宋体"/>
          <w:kern w:val="0"/>
          <w:szCs w:val="21"/>
        </w:rPr>
        <w:t xml:space="preserve">   年  月  日</w:t>
      </w:r>
    </w:p>
    <w:p w14:paraId="21A3E460">
      <w:pPr>
        <w:spacing w:line="360" w:lineRule="auto"/>
        <w:jc w:val="center"/>
        <w:outlineLvl w:val="1"/>
        <w:rPr>
          <w:rFonts w:hint="eastAsia" w:ascii="宋体" w:hAnsi="宋体" w:cs="宋体"/>
          <w:b/>
          <w:bCs/>
        </w:rPr>
      </w:pPr>
      <w:r>
        <w:rPr>
          <w:rFonts w:hint="eastAsia" w:ascii="宋体" w:hAnsi="宋体" w:cs="宋体"/>
          <w:spacing w:val="20"/>
          <w:szCs w:val="21"/>
        </w:rPr>
        <w:br w:type="page"/>
      </w:r>
      <w:r>
        <w:rPr>
          <w:rFonts w:hint="eastAsia" w:ascii="宋体" w:hAnsi="宋体" w:cs="宋体"/>
          <w:spacing w:val="20"/>
          <w:szCs w:val="21"/>
        </w:rPr>
        <w:t>四、</w:t>
      </w:r>
      <w:r>
        <w:rPr>
          <w:rFonts w:hint="eastAsia" w:ascii="宋体" w:hAnsi="宋体" w:cs="宋体"/>
          <w:b/>
          <w:bCs/>
        </w:rPr>
        <w:t>资格审查</w:t>
      </w:r>
    </w:p>
    <w:tbl>
      <w:tblPr>
        <w:tblStyle w:val="4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835"/>
        <w:gridCol w:w="1383"/>
        <w:gridCol w:w="3443"/>
      </w:tblGrid>
      <w:tr w14:paraId="3BB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9" w:type="pct"/>
            <w:vAlign w:val="center"/>
          </w:tcPr>
          <w:p w14:paraId="23D80054">
            <w:pPr>
              <w:spacing w:line="360" w:lineRule="auto"/>
              <w:jc w:val="center"/>
              <w:rPr>
                <w:rFonts w:hint="eastAsia" w:ascii="宋体" w:hAnsi="宋体" w:cs="宋体"/>
                <w:sz w:val="18"/>
                <w:szCs w:val="18"/>
              </w:rPr>
            </w:pPr>
            <w:r>
              <w:rPr>
                <w:rFonts w:hint="eastAsia" w:ascii="宋体" w:hAnsi="宋体" w:cs="宋体"/>
                <w:sz w:val="18"/>
                <w:szCs w:val="18"/>
              </w:rPr>
              <w:t>序号</w:t>
            </w:r>
          </w:p>
        </w:tc>
        <w:tc>
          <w:tcPr>
            <w:tcW w:w="2041" w:type="pct"/>
            <w:vAlign w:val="center"/>
          </w:tcPr>
          <w:p w14:paraId="3BBEFD53">
            <w:pPr>
              <w:spacing w:line="360" w:lineRule="auto"/>
              <w:jc w:val="center"/>
              <w:rPr>
                <w:rFonts w:hint="eastAsia" w:ascii="宋体" w:hAnsi="宋体" w:cs="宋体"/>
                <w:sz w:val="18"/>
                <w:szCs w:val="18"/>
              </w:rPr>
            </w:pPr>
            <w:r>
              <w:rPr>
                <w:rFonts w:hint="eastAsia" w:ascii="宋体" w:hAnsi="宋体" w:cs="宋体"/>
                <w:sz w:val="18"/>
                <w:szCs w:val="18"/>
              </w:rPr>
              <w:t>资格条件</w:t>
            </w:r>
          </w:p>
        </w:tc>
        <w:tc>
          <w:tcPr>
            <w:tcW w:w="736" w:type="pct"/>
            <w:vAlign w:val="center"/>
          </w:tcPr>
          <w:p w14:paraId="3D7282EF">
            <w:pPr>
              <w:spacing w:line="360" w:lineRule="auto"/>
              <w:jc w:val="center"/>
              <w:rPr>
                <w:rFonts w:hint="eastAsia" w:ascii="宋体" w:hAnsi="宋体" w:cs="宋体"/>
                <w:sz w:val="18"/>
                <w:szCs w:val="18"/>
              </w:rPr>
            </w:pPr>
            <w:r>
              <w:rPr>
                <w:rFonts w:hint="eastAsia" w:ascii="宋体" w:hAnsi="宋体" w:cs="宋体"/>
                <w:sz w:val="18"/>
                <w:szCs w:val="18"/>
              </w:rPr>
              <w:t>投标人对能达到程度的简述（投标人填写）</w:t>
            </w:r>
          </w:p>
        </w:tc>
        <w:tc>
          <w:tcPr>
            <w:tcW w:w="1832" w:type="pct"/>
            <w:vAlign w:val="center"/>
          </w:tcPr>
          <w:p w14:paraId="2177E8E6">
            <w:pPr>
              <w:spacing w:line="360" w:lineRule="auto"/>
              <w:jc w:val="center"/>
              <w:rPr>
                <w:rFonts w:hint="eastAsia" w:ascii="宋体" w:hAnsi="宋体" w:cs="宋体"/>
                <w:sz w:val="18"/>
                <w:szCs w:val="18"/>
              </w:rPr>
            </w:pPr>
            <w:r>
              <w:rPr>
                <w:rFonts w:hint="eastAsia" w:ascii="宋体" w:hAnsi="宋体" w:cs="宋体"/>
                <w:sz w:val="18"/>
                <w:szCs w:val="18"/>
              </w:rPr>
              <w:t>证明资料附后</w:t>
            </w:r>
          </w:p>
        </w:tc>
      </w:tr>
      <w:tr w14:paraId="2924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9" w:type="pct"/>
            <w:vAlign w:val="center"/>
          </w:tcPr>
          <w:p w14:paraId="57965EEF">
            <w:pPr>
              <w:spacing w:line="360" w:lineRule="auto"/>
              <w:jc w:val="center"/>
              <w:rPr>
                <w:rFonts w:hint="eastAsia" w:ascii="宋体" w:hAnsi="宋体" w:cs="宋体"/>
                <w:sz w:val="18"/>
                <w:szCs w:val="18"/>
              </w:rPr>
            </w:pPr>
            <w:r>
              <w:rPr>
                <w:rFonts w:hint="eastAsia" w:ascii="宋体" w:hAnsi="宋体" w:cs="宋体"/>
                <w:sz w:val="18"/>
                <w:szCs w:val="18"/>
              </w:rPr>
              <w:t>1</w:t>
            </w:r>
          </w:p>
        </w:tc>
        <w:tc>
          <w:tcPr>
            <w:tcW w:w="2041" w:type="pct"/>
            <w:vAlign w:val="center"/>
          </w:tcPr>
          <w:p w14:paraId="073D895E">
            <w:pPr>
              <w:spacing w:line="360" w:lineRule="auto"/>
              <w:jc w:val="left"/>
              <w:rPr>
                <w:rFonts w:hint="eastAsia" w:ascii="宋体" w:hAnsi="宋体" w:cs="宋体"/>
                <w:sz w:val="18"/>
                <w:szCs w:val="18"/>
              </w:rPr>
            </w:pPr>
            <w:r>
              <w:rPr>
                <w:rFonts w:hint="eastAsia" w:ascii="宋体" w:hAnsi="宋体" w:cs="宋体"/>
                <w:sz w:val="18"/>
                <w:szCs w:val="18"/>
                <w:lang w:eastAsia="zh-CN"/>
              </w:rPr>
              <w:t>投标人</w:t>
            </w:r>
            <w:r>
              <w:rPr>
                <w:rFonts w:hint="eastAsia" w:ascii="宋体" w:hAnsi="宋体" w:cs="宋体"/>
                <w:sz w:val="18"/>
                <w:szCs w:val="18"/>
              </w:rPr>
              <w:t>应是在中华人民共和国境内（不含港、澳、台地区）注册，具有独立法人资格（提供营业执照（事业单位法人证书或社会团体法人登记证书或其他组织登记证明文件，下同）扫描件（加盖公章），保险、金融、电信、通信特殊行业可视行业实际情况提供非独立法人的分公司登记证书及总公司唯一授权相关证明材料的扫描件（加盖公章））</w:t>
            </w:r>
          </w:p>
        </w:tc>
        <w:tc>
          <w:tcPr>
            <w:tcW w:w="736" w:type="pct"/>
          </w:tcPr>
          <w:p w14:paraId="401985AC">
            <w:pPr>
              <w:spacing w:line="360" w:lineRule="auto"/>
              <w:rPr>
                <w:rFonts w:hint="eastAsia" w:ascii="宋体" w:hAnsi="宋体" w:cs="宋体"/>
                <w:sz w:val="18"/>
                <w:szCs w:val="18"/>
              </w:rPr>
            </w:pPr>
          </w:p>
        </w:tc>
        <w:tc>
          <w:tcPr>
            <w:tcW w:w="1832" w:type="pct"/>
            <w:vAlign w:val="center"/>
          </w:tcPr>
          <w:p w14:paraId="06CE17B3">
            <w:pPr>
              <w:spacing w:line="360" w:lineRule="auto"/>
              <w:jc w:val="left"/>
              <w:rPr>
                <w:sz w:val="18"/>
                <w:szCs w:val="21"/>
              </w:rPr>
            </w:pPr>
            <w:r>
              <w:rPr>
                <w:rFonts w:hint="eastAsia" w:ascii="宋体" w:hAnsi="宋体" w:cs="宋体"/>
                <w:sz w:val="18"/>
                <w:szCs w:val="18"/>
              </w:rPr>
              <w:t>营业执照(或事业法人登记证书或其它工商等登记证明材料；自然人参与投标，提供身份证</w:t>
            </w:r>
            <w:r>
              <w:rPr>
                <w:rFonts w:hint="eastAsia" w:ascii="宋体" w:hAnsi="宋体" w:cs="宋体"/>
                <w:sz w:val="18"/>
                <w:szCs w:val="18"/>
                <w:lang w:eastAsia="zh-CN"/>
              </w:rPr>
              <w:t>）</w:t>
            </w:r>
            <w:r>
              <w:rPr>
                <w:rFonts w:hint="eastAsia" w:ascii="宋体" w:hAnsi="宋体" w:cs="宋体"/>
                <w:sz w:val="18"/>
                <w:szCs w:val="18"/>
              </w:rPr>
              <w:t>复印件、实施“五证合一、一照一码”登记制度改革的，只需提供改革后取得的营业执照复印件</w:t>
            </w:r>
          </w:p>
        </w:tc>
      </w:tr>
      <w:tr w14:paraId="339D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89" w:type="pct"/>
            <w:vAlign w:val="center"/>
          </w:tcPr>
          <w:p w14:paraId="73444CC2">
            <w:pPr>
              <w:spacing w:line="360" w:lineRule="auto"/>
              <w:jc w:val="center"/>
              <w:rPr>
                <w:rFonts w:hint="eastAsia" w:ascii="宋体" w:hAnsi="宋体" w:cs="宋体"/>
                <w:sz w:val="18"/>
                <w:szCs w:val="18"/>
              </w:rPr>
            </w:pPr>
            <w:r>
              <w:rPr>
                <w:rFonts w:hint="eastAsia" w:ascii="宋体" w:hAnsi="宋体" w:cs="宋体"/>
                <w:sz w:val="18"/>
                <w:szCs w:val="18"/>
              </w:rPr>
              <w:t>2</w:t>
            </w:r>
          </w:p>
        </w:tc>
        <w:tc>
          <w:tcPr>
            <w:tcW w:w="2041" w:type="pct"/>
            <w:vAlign w:val="center"/>
          </w:tcPr>
          <w:p w14:paraId="7F5E7CCF">
            <w:pPr>
              <w:spacing w:line="360" w:lineRule="auto"/>
              <w:jc w:val="left"/>
              <w:rPr>
                <w:rFonts w:hint="eastAsia" w:ascii="宋体" w:hAnsi="宋体" w:cs="宋体"/>
                <w:sz w:val="18"/>
                <w:szCs w:val="18"/>
              </w:rPr>
            </w:pPr>
            <w:r>
              <w:rPr>
                <w:rFonts w:hint="eastAsia" w:ascii="宋体" w:hAnsi="宋体" w:cs="宋体"/>
                <w:sz w:val="18"/>
                <w:szCs w:val="18"/>
                <w:lang w:eastAsia="zh-CN"/>
              </w:rPr>
              <w:t>投标人</w:t>
            </w:r>
            <w:r>
              <w:rPr>
                <w:rFonts w:hint="eastAsia" w:ascii="宋体" w:hAnsi="宋体" w:cs="宋体"/>
                <w:sz w:val="18"/>
                <w:szCs w:val="18"/>
              </w:rPr>
              <w:t>应具有良好的银行资信和商业信誉；</w:t>
            </w:r>
          </w:p>
        </w:tc>
        <w:tc>
          <w:tcPr>
            <w:tcW w:w="736" w:type="pct"/>
          </w:tcPr>
          <w:p w14:paraId="46703FCB">
            <w:pPr>
              <w:spacing w:line="360" w:lineRule="auto"/>
              <w:rPr>
                <w:rFonts w:hint="eastAsia" w:ascii="宋体" w:hAnsi="宋体" w:cs="宋体"/>
                <w:sz w:val="18"/>
                <w:szCs w:val="18"/>
              </w:rPr>
            </w:pPr>
          </w:p>
        </w:tc>
        <w:tc>
          <w:tcPr>
            <w:tcW w:w="1832" w:type="pct"/>
            <w:vAlign w:val="center"/>
          </w:tcPr>
          <w:p w14:paraId="23AEAA8F">
            <w:pPr>
              <w:widowControl/>
              <w:adjustRightInd w:val="0"/>
              <w:snapToGrid w:val="0"/>
              <w:spacing w:line="360" w:lineRule="auto"/>
              <w:rPr>
                <w:rFonts w:hint="eastAsia" w:ascii="宋体" w:hAnsi="宋体" w:cs="宋体"/>
                <w:sz w:val="18"/>
                <w:szCs w:val="18"/>
              </w:rPr>
            </w:pPr>
            <w:r>
              <w:rPr>
                <w:rFonts w:hint="eastAsia" w:ascii="宋体" w:hAnsi="宋体" w:cs="宋体"/>
                <w:sz w:val="18"/>
                <w:szCs w:val="21"/>
              </w:rPr>
              <w:t>承诺函</w:t>
            </w:r>
          </w:p>
        </w:tc>
      </w:tr>
      <w:tr w14:paraId="473B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89" w:type="pct"/>
            <w:vAlign w:val="center"/>
          </w:tcPr>
          <w:p w14:paraId="520D662E">
            <w:pPr>
              <w:spacing w:line="360" w:lineRule="auto"/>
              <w:jc w:val="center"/>
              <w:rPr>
                <w:rFonts w:hint="eastAsia" w:ascii="宋体" w:hAnsi="宋体" w:cs="宋体"/>
                <w:sz w:val="18"/>
                <w:szCs w:val="18"/>
              </w:rPr>
            </w:pPr>
            <w:r>
              <w:rPr>
                <w:rFonts w:hint="eastAsia" w:ascii="宋体" w:hAnsi="宋体" w:cs="宋体"/>
                <w:sz w:val="18"/>
                <w:szCs w:val="18"/>
              </w:rPr>
              <w:t>3</w:t>
            </w:r>
          </w:p>
        </w:tc>
        <w:tc>
          <w:tcPr>
            <w:tcW w:w="2041" w:type="pct"/>
            <w:vAlign w:val="center"/>
          </w:tcPr>
          <w:p w14:paraId="4C07959B">
            <w:pPr>
              <w:spacing w:line="360" w:lineRule="auto"/>
              <w:jc w:val="left"/>
              <w:rPr>
                <w:rFonts w:hint="eastAsia" w:ascii="宋体" w:hAnsi="宋体" w:cs="宋体"/>
                <w:sz w:val="18"/>
                <w:szCs w:val="18"/>
              </w:rPr>
            </w:pPr>
            <w:r>
              <w:rPr>
                <w:rFonts w:hint="eastAsia" w:ascii="宋体" w:hAnsi="宋体" w:cs="宋体"/>
                <w:sz w:val="18"/>
                <w:szCs w:val="18"/>
                <w:lang w:eastAsia="zh-CN"/>
              </w:rPr>
              <w:t>投标人</w:t>
            </w:r>
            <w:r>
              <w:rPr>
                <w:rFonts w:hint="eastAsia" w:ascii="宋体" w:hAnsi="宋体" w:cs="宋体"/>
                <w:sz w:val="18"/>
                <w:szCs w:val="18"/>
              </w:rPr>
              <w:t>不得存在下列情形之一：</w:t>
            </w:r>
          </w:p>
          <w:p w14:paraId="0C8ED84A">
            <w:pPr>
              <w:spacing w:line="360" w:lineRule="auto"/>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eastAsia="zh-CN"/>
              </w:rPr>
              <w:t>投标人</w:t>
            </w:r>
            <w:r>
              <w:rPr>
                <w:rFonts w:hint="eastAsia" w:ascii="宋体" w:hAnsi="宋体" w:cs="宋体"/>
                <w:sz w:val="18"/>
                <w:szCs w:val="18"/>
              </w:rPr>
              <w:t>被责令停业停产或破产状态的；</w:t>
            </w:r>
          </w:p>
          <w:p w14:paraId="172A9472">
            <w:pPr>
              <w:spacing w:line="360" w:lineRule="auto"/>
              <w:jc w:val="left"/>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eastAsia="zh-CN"/>
              </w:rPr>
              <w:t>投标人</w:t>
            </w:r>
            <w:r>
              <w:rPr>
                <w:rFonts w:hint="eastAsia" w:ascii="宋体" w:hAnsi="宋体" w:cs="宋体"/>
                <w:sz w:val="18"/>
                <w:szCs w:val="18"/>
              </w:rPr>
              <w:t>财产被重组、接管、查封、扣押或冻结的；</w:t>
            </w:r>
          </w:p>
          <w:p w14:paraId="24BF35FF">
            <w:pPr>
              <w:spacing w:line="360" w:lineRule="auto"/>
              <w:jc w:val="left"/>
              <w:rPr>
                <w:rFonts w:hint="eastAsia" w:ascii="宋体" w:hAnsi="宋体" w:cs="宋体"/>
                <w:sz w:val="18"/>
                <w:szCs w:val="18"/>
              </w:rPr>
            </w:pPr>
            <w:r>
              <w:rPr>
                <w:rFonts w:hint="eastAsia" w:ascii="宋体" w:hAnsi="宋体" w:cs="宋体"/>
                <w:sz w:val="18"/>
                <w:szCs w:val="18"/>
              </w:rPr>
              <w:t>3）截至投标文件提交截止时间前3年内，</w:t>
            </w:r>
            <w:r>
              <w:rPr>
                <w:rFonts w:hint="eastAsia" w:ascii="宋体" w:hAnsi="宋体" w:cs="宋体"/>
                <w:sz w:val="18"/>
                <w:szCs w:val="18"/>
                <w:lang w:eastAsia="zh-CN"/>
              </w:rPr>
              <w:t>投标人</w:t>
            </w:r>
            <w:r>
              <w:rPr>
                <w:rFonts w:hint="eastAsia" w:ascii="宋体" w:hAnsi="宋体" w:cs="宋体"/>
                <w:sz w:val="18"/>
                <w:szCs w:val="18"/>
              </w:rPr>
              <w:t>在经营活动中有重大违法记录，被“信用中国”（www.creditchina.gov.cn）列入失信被执行人名单或重大税收违法案件当事人名单或被国家企业信用信息公示系统（www.gsxt.gov.cn）列入严重违法失信企业名单；</w:t>
            </w:r>
          </w:p>
        </w:tc>
        <w:tc>
          <w:tcPr>
            <w:tcW w:w="736" w:type="pct"/>
          </w:tcPr>
          <w:p w14:paraId="10F18732">
            <w:pPr>
              <w:spacing w:line="360" w:lineRule="auto"/>
              <w:rPr>
                <w:rFonts w:hint="eastAsia" w:ascii="宋体" w:hAnsi="宋体" w:cs="宋体"/>
                <w:sz w:val="18"/>
                <w:szCs w:val="18"/>
              </w:rPr>
            </w:pPr>
          </w:p>
        </w:tc>
        <w:tc>
          <w:tcPr>
            <w:tcW w:w="1832" w:type="pct"/>
            <w:vAlign w:val="center"/>
          </w:tcPr>
          <w:p w14:paraId="193419B0">
            <w:pPr>
              <w:spacing w:line="360" w:lineRule="auto"/>
              <w:rPr>
                <w:rFonts w:hint="eastAsia" w:ascii="宋体" w:hAnsi="宋体" w:cs="宋体"/>
                <w:sz w:val="18"/>
                <w:szCs w:val="18"/>
              </w:rPr>
            </w:pPr>
            <w:r>
              <w:rPr>
                <w:rFonts w:hint="eastAsia" w:ascii="宋体" w:hAnsi="宋体" w:cs="宋体"/>
                <w:sz w:val="18"/>
                <w:szCs w:val="21"/>
              </w:rPr>
              <w:t>承诺函及截图</w:t>
            </w:r>
          </w:p>
        </w:tc>
      </w:tr>
      <w:tr w14:paraId="4983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89" w:type="pct"/>
            <w:vAlign w:val="center"/>
          </w:tcPr>
          <w:p w14:paraId="06B91E71">
            <w:pPr>
              <w:spacing w:line="360" w:lineRule="auto"/>
              <w:jc w:val="center"/>
              <w:rPr>
                <w:rFonts w:hint="eastAsia" w:ascii="宋体" w:hAnsi="宋体" w:cs="宋体"/>
                <w:sz w:val="18"/>
                <w:szCs w:val="18"/>
              </w:rPr>
            </w:pPr>
            <w:r>
              <w:rPr>
                <w:rFonts w:hint="eastAsia" w:ascii="宋体" w:hAnsi="宋体" w:cs="宋体"/>
                <w:sz w:val="18"/>
                <w:szCs w:val="18"/>
              </w:rPr>
              <w:t>4</w:t>
            </w:r>
          </w:p>
        </w:tc>
        <w:tc>
          <w:tcPr>
            <w:tcW w:w="2041" w:type="pct"/>
            <w:vAlign w:val="center"/>
          </w:tcPr>
          <w:p w14:paraId="365A17E5">
            <w:pPr>
              <w:spacing w:line="360" w:lineRule="auto"/>
              <w:jc w:val="left"/>
              <w:rPr>
                <w:rFonts w:hint="eastAsia" w:ascii="宋体" w:hAnsi="宋体" w:cs="宋体"/>
                <w:sz w:val="18"/>
                <w:szCs w:val="18"/>
              </w:rPr>
            </w:pPr>
            <w:r>
              <w:rPr>
                <w:rFonts w:hint="eastAsia" w:ascii="宋体" w:hAnsi="宋体" w:cs="宋体"/>
                <w:sz w:val="18"/>
                <w:szCs w:val="18"/>
              </w:rPr>
              <w:t>法定代表人或单位负责人为同一人或者存在直接控股、管理关系的不同单位，不得同时参加本项目的采购；</w:t>
            </w:r>
          </w:p>
        </w:tc>
        <w:tc>
          <w:tcPr>
            <w:tcW w:w="736" w:type="pct"/>
          </w:tcPr>
          <w:p w14:paraId="72A3163A">
            <w:pPr>
              <w:spacing w:line="360" w:lineRule="auto"/>
              <w:rPr>
                <w:rFonts w:hint="eastAsia" w:ascii="宋体" w:hAnsi="宋体" w:cs="宋体"/>
                <w:sz w:val="18"/>
                <w:szCs w:val="18"/>
              </w:rPr>
            </w:pPr>
          </w:p>
        </w:tc>
        <w:tc>
          <w:tcPr>
            <w:tcW w:w="1832" w:type="pct"/>
            <w:vAlign w:val="center"/>
          </w:tcPr>
          <w:p w14:paraId="215894A4">
            <w:pPr>
              <w:spacing w:line="360" w:lineRule="auto"/>
              <w:jc w:val="left"/>
              <w:rPr>
                <w:rFonts w:hint="eastAsia" w:ascii="宋体" w:hAnsi="宋体" w:cs="宋体"/>
                <w:sz w:val="18"/>
                <w:szCs w:val="18"/>
              </w:rPr>
            </w:pPr>
            <w:r>
              <w:rPr>
                <w:rFonts w:hint="eastAsia" w:ascii="宋体" w:hAnsi="宋体" w:cs="宋体"/>
                <w:sz w:val="18"/>
                <w:szCs w:val="21"/>
              </w:rPr>
              <w:t>承诺函</w:t>
            </w:r>
          </w:p>
        </w:tc>
      </w:tr>
      <w:tr w14:paraId="3E4D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9" w:type="pct"/>
            <w:vAlign w:val="center"/>
          </w:tcPr>
          <w:p w14:paraId="64D4B32E">
            <w:pPr>
              <w:spacing w:line="360" w:lineRule="auto"/>
              <w:jc w:val="center"/>
              <w:rPr>
                <w:rFonts w:hint="eastAsia" w:ascii="宋体" w:hAnsi="宋体" w:cs="宋体"/>
                <w:sz w:val="18"/>
                <w:szCs w:val="18"/>
              </w:rPr>
            </w:pPr>
            <w:r>
              <w:rPr>
                <w:rFonts w:hint="eastAsia" w:ascii="宋体" w:hAnsi="宋体" w:cs="宋体"/>
                <w:sz w:val="18"/>
                <w:szCs w:val="18"/>
              </w:rPr>
              <w:t>5</w:t>
            </w:r>
          </w:p>
        </w:tc>
        <w:tc>
          <w:tcPr>
            <w:tcW w:w="2041" w:type="pct"/>
            <w:vAlign w:val="center"/>
          </w:tcPr>
          <w:p w14:paraId="1779A6F8">
            <w:pPr>
              <w:spacing w:line="360" w:lineRule="auto"/>
              <w:jc w:val="left"/>
              <w:rPr>
                <w:rFonts w:hint="eastAsia" w:ascii="宋体" w:hAnsi="宋体" w:cs="宋体"/>
                <w:sz w:val="18"/>
                <w:szCs w:val="18"/>
              </w:rPr>
            </w:pPr>
            <w:r>
              <w:rPr>
                <w:rFonts w:hint="eastAsia" w:ascii="宋体" w:hAnsi="宋体" w:cs="宋体"/>
                <w:sz w:val="18"/>
                <w:szCs w:val="18"/>
              </w:rPr>
              <w:t>本项目不接受联合体</w:t>
            </w:r>
          </w:p>
        </w:tc>
        <w:tc>
          <w:tcPr>
            <w:tcW w:w="736" w:type="pct"/>
          </w:tcPr>
          <w:p w14:paraId="2BB18038">
            <w:pPr>
              <w:spacing w:line="360" w:lineRule="auto"/>
              <w:rPr>
                <w:rFonts w:hint="eastAsia" w:ascii="宋体" w:hAnsi="宋体" w:cs="宋体"/>
                <w:sz w:val="18"/>
                <w:szCs w:val="21"/>
              </w:rPr>
            </w:pPr>
          </w:p>
        </w:tc>
        <w:tc>
          <w:tcPr>
            <w:tcW w:w="1832" w:type="pct"/>
            <w:vAlign w:val="center"/>
          </w:tcPr>
          <w:p w14:paraId="1E0A5AED">
            <w:pPr>
              <w:spacing w:line="360" w:lineRule="auto"/>
              <w:rPr>
                <w:rFonts w:hint="eastAsia" w:ascii="宋体" w:hAnsi="宋体" w:cs="宋体"/>
                <w:sz w:val="18"/>
                <w:szCs w:val="21"/>
              </w:rPr>
            </w:pPr>
            <w:r>
              <w:rPr>
                <w:rFonts w:hint="eastAsia" w:ascii="宋体" w:hAnsi="宋体" w:cs="宋体"/>
                <w:sz w:val="18"/>
                <w:szCs w:val="21"/>
              </w:rPr>
              <w:t>/</w:t>
            </w:r>
          </w:p>
        </w:tc>
      </w:tr>
    </w:tbl>
    <w:p w14:paraId="111E579B">
      <w:pPr>
        <w:snapToGrid w:val="0"/>
        <w:spacing w:line="360" w:lineRule="auto"/>
        <w:rPr>
          <w:rFonts w:hint="eastAsia" w:ascii="宋体" w:hAnsi="宋体" w:cs="宋体"/>
          <w:b/>
          <w:kern w:val="0"/>
          <w:szCs w:val="21"/>
        </w:rPr>
      </w:pPr>
      <w:r>
        <w:rPr>
          <w:rFonts w:hint="eastAsia" w:ascii="宋体" w:hAnsi="宋体" w:cs="宋体"/>
          <w:b/>
          <w:kern w:val="0"/>
          <w:szCs w:val="21"/>
        </w:rPr>
        <w:t>注：1</w:t>
      </w:r>
      <w:r>
        <w:rPr>
          <w:rFonts w:hint="eastAsia" w:ascii="宋体" w:hAnsi="宋体" w:cs="宋体"/>
          <w:b/>
          <w:kern w:val="0"/>
          <w:szCs w:val="21"/>
          <w:lang w:val="en-US" w:eastAsia="zh-CN"/>
        </w:rPr>
        <w:t>.</w:t>
      </w:r>
      <w:r>
        <w:rPr>
          <w:rFonts w:hint="eastAsia" w:ascii="宋体" w:hAnsi="宋体" w:cs="宋体"/>
          <w:b/>
          <w:kern w:val="0"/>
          <w:szCs w:val="21"/>
        </w:rPr>
        <w:t>证明材料复印件需齐全，不得缺页，否则证明无效。</w:t>
      </w:r>
    </w:p>
    <w:p w14:paraId="43A50B7C">
      <w:pPr>
        <w:snapToGrid w:val="0"/>
        <w:spacing w:line="360" w:lineRule="auto"/>
        <w:ind w:firstLine="422" w:firstLineChars="200"/>
        <w:rPr>
          <w:rFonts w:hint="eastAsia" w:ascii="宋体" w:hAnsi="宋体" w:cs="宋体"/>
          <w:b/>
          <w:kern w:val="0"/>
          <w:szCs w:val="21"/>
        </w:rPr>
      </w:pPr>
      <w:r>
        <w:rPr>
          <w:rFonts w:hint="eastAsia" w:ascii="宋体" w:hAnsi="宋体" w:cs="宋体"/>
          <w:b/>
          <w:kern w:val="0"/>
          <w:szCs w:val="21"/>
        </w:rPr>
        <w:t>2</w:t>
      </w:r>
      <w:r>
        <w:rPr>
          <w:rFonts w:hint="eastAsia" w:ascii="宋体" w:hAnsi="宋体" w:cs="宋体"/>
          <w:b/>
          <w:kern w:val="0"/>
          <w:szCs w:val="21"/>
          <w:lang w:val="en-US" w:eastAsia="zh-CN"/>
        </w:rPr>
        <w:t>.</w:t>
      </w:r>
      <w:r>
        <w:rPr>
          <w:rFonts w:hint="eastAsia" w:ascii="宋体" w:hAnsi="宋体" w:cs="宋体"/>
          <w:b/>
          <w:kern w:val="0"/>
          <w:szCs w:val="21"/>
        </w:rPr>
        <w:t>证明材料应具备充分性，否则由此产生的责任和风险投标人承担。</w:t>
      </w:r>
    </w:p>
    <w:p w14:paraId="7D4E0B27">
      <w:pPr>
        <w:snapToGrid w:val="0"/>
        <w:spacing w:line="360" w:lineRule="auto"/>
        <w:rPr>
          <w:rFonts w:hint="eastAsia" w:ascii="宋体" w:hAnsi="宋体" w:cs="宋体"/>
          <w:szCs w:val="21"/>
        </w:rPr>
      </w:pPr>
      <w:r>
        <w:rPr>
          <w:rFonts w:hint="eastAsia" w:ascii="宋体" w:hAnsi="宋体" w:cs="宋体"/>
          <w:szCs w:val="21"/>
        </w:rPr>
        <w:t xml:space="preserve">投标人全称（盖单位公章）： </w:t>
      </w:r>
    </w:p>
    <w:p w14:paraId="4385ED38">
      <w:pPr>
        <w:snapToGrid w:val="0"/>
        <w:spacing w:line="360" w:lineRule="auto"/>
        <w:rPr>
          <w:rFonts w:hint="eastAsia" w:ascii="宋体" w:hAnsi="宋体" w:cs="宋体"/>
          <w:szCs w:val="21"/>
        </w:rPr>
      </w:pPr>
      <w:r>
        <w:rPr>
          <w:rFonts w:hint="eastAsia" w:ascii="宋体" w:hAnsi="宋体" w:cs="宋体"/>
          <w:szCs w:val="21"/>
        </w:rPr>
        <w:t xml:space="preserve">日期： </w:t>
      </w:r>
      <w:r>
        <w:rPr>
          <w:rFonts w:hint="eastAsia" w:ascii="宋体" w:hAnsi="宋体" w:cs="宋体"/>
          <w:kern w:val="0"/>
          <w:sz w:val="28"/>
        </w:rPr>
        <w:br w:type="page"/>
      </w:r>
      <w:r>
        <w:rPr>
          <w:rFonts w:hint="eastAsia" w:ascii="宋体" w:hAnsi="宋体" w:cs="宋体"/>
          <w:b/>
          <w:bCs/>
          <w:szCs w:val="21"/>
          <w:lang w:val="en-US" w:eastAsia="zh-CN"/>
        </w:rPr>
        <w:t xml:space="preserve">    （1）营业执照(或事业法人登记证书或其它工商等登记证明材料；自然人参与投标，提供身份证）复印件、税务登记证(或其它缴纳证明材料）复印件、社保登记证（或其它缴纳证明材料）复印件；实施“五证合一、一照一码”登记制度改革的，只需提供改革后取得的营业执照复印件； </w:t>
      </w:r>
    </w:p>
    <w:p w14:paraId="78D07CD3">
      <w:pPr>
        <w:pStyle w:val="12"/>
        <w:ind w:left="560"/>
        <w:rPr>
          <w:rFonts w:hint="eastAsia" w:ascii="宋体" w:hAnsi="宋体" w:eastAsia="宋体" w:cs="宋体"/>
          <w:b/>
          <w:bCs/>
          <w:sz w:val="21"/>
        </w:rPr>
      </w:pPr>
    </w:p>
    <w:p w14:paraId="1964F504">
      <w:pPr>
        <w:adjustRightInd w:val="0"/>
        <w:snapToGrid w:val="0"/>
        <w:spacing w:line="360" w:lineRule="auto"/>
        <w:ind w:left="105" w:leftChars="50" w:firstLine="422" w:firstLineChars="200"/>
        <w:rPr>
          <w:rFonts w:hint="eastAsia" w:ascii="宋体" w:hAnsi="宋体" w:cs="宋体"/>
          <w:b/>
          <w:bCs/>
          <w:szCs w:val="21"/>
        </w:rPr>
      </w:pPr>
    </w:p>
    <w:p w14:paraId="3DEB5561">
      <w:pPr>
        <w:adjustRightInd w:val="0"/>
        <w:snapToGrid w:val="0"/>
        <w:spacing w:line="360" w:lineRule="auto"/>
        <w:ind w:left="105" w:leftChars="50" w:firstLine="422" w:firstLineChars="200"/>
        <w:rPr>
          <w:rFonts w:hint="eastAsia" w:ascii="宋体" w:hAnsi="宋体" w:cs="宋体"/>
          <w:b/>
          <w:bCs/>
          <w:szCs w:val="21"/>
        </w:rPr>
      </w:pPr>
      <w:r>
        <w:rPr>
          <w:rFonts w:hint="eastAsia" w:ascii="宋体" w:hAnsi="宋体" w:cs="宋体"/>
          <w:b/>
          <w:bCs/>
          <w:szCs w:val="21"/>
        </w:rPr>
        <w:t>（2）承诺函</w:t>
      </w:r>
    </w:p>
    <w:p w14:paraId="1D20D114">
      <w:pPr>
        <w:widowControl/>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承诺函</w:t>
      </w:r>
    </w:p>
    <w:p w14:paraId="2BD7501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（招标人）：</w:t>
      </w:r>
    </w:p>
    <w:p w14:paraId="78F17D4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我方（       ）承诺：</w:t>
      </w:r>
    </w:p>
    <w:p w14:paraId="6E6DD83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具有良好的银行资信和商业信誉；</w:t>
      </w:r>
    </w:p>
    <w:p w14:paraId="2A35DA79">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具有履行合同所必需的设备和专业技术能力；</w:t>
      </w:r>
    </w:p>
    <w:p w14:paraId="22707A4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严格依法缴纳税收和社会保障资金；</w:t>
      </w:r>
    </w:p>
    <w:p w14:paraId="595A791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参加本次</w:t>
      </w:r>
      <w:r>
        <w:rPr>
          <w:rFonts w:hint="eastAsia" w:ascii="宋体" w:hAnsi="宋体" w:eastAsia="宋体" w:cs="宋体"/>
          <w:szCs w:val="21"/>
          <w:lang w:eastAsia="zh-CN"/>
        </w:rPr>
        <w:t>招标活动</w:t>
      </w:r>
      <w:r>
        <w:rPr>
          <w:rFonts w:hint="eastAsia" w:ascii="宋体" w:hAnsi="宋体" w:eastAsia="宋体" w:cs="宋体"/>
          <w:szCs w:val="21"/>
        </w:rPr>
        <w:t>前3年内在经营活动中没有重大违法记录（没有因违法经营受到刑事处罚，没有被责令停产停业、被吊销许可证或者执照、被处以较大数额罚款等行政处罚，没有因违法经营被禁止参加</w:t>
      </w:r>
      <w:r>
        <w:rPr>
          <w:rFonts w:hint="eastAsia" w:ascii="宋体" w:hAnsi="宋体" w:eastAsia="宋体" w:cs="宋体"/>
          <w:szCs w:val="21"/>
          <w:lang w:eastAsia="zh-CN"/>
        </w:rPr>
        <w:t>招标活动</w:t>
      </w:r>
      <w:r>
        <w:rPr>
          <w:rFonts w:hint="eastAsia" w:ascii="宋体" w:hAnsi="宋体" w:eastAsia="宋体" w:cs="宋体"/>
          <w:szCs w:val="21"/>
        </w:rPr>
        <w:t>的期限未满情形）；</w:t>
      </w:r>
    </w:p>
    <w:p w14:paraId="7E56CA6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未被列入失信被执行人名单、重大税收违法案件当事人名单、严重违法失信行为记录名单；</w:t>
      </w:r>
    </w:p>
    <w:p w14:paraId="67F8EB5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不存在以下情况：</w:t>
      </w:r>
    </w:p>
    <w:p w14:paraId="537104D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（1）单位负责人为同一人或者存在直接控股、管理关系的不同</w:t>
      </w:r>
      <w:r>
        <w:rPr>
          <w:rFonts w:hint="eastAsia" w:ascii="宋体" w:hAnsi="宋体" w:cs="宋体"/>
          <w:szCs w:val="21"/>
          <w:lang w:eastAsia="zh-CN"/>
        </w:rPr>
        <w:t>投标人</w:t>
      </w:r>
      <w:r>
        <w:rPr>
          <w:rFonts w:hint="eastAsia" w:ascii="宋体" w:hAnsi="宋体" w:eastAsia="宋体" w:cs="宋体"/>
          <w:szCs w:val="21"/>
        </w:rPr>
        <w:t>参加同一合同项下的</w:t>
      </w:r>
      <w:r>
        <w:rPr>
          <w:rFonts w:hint="eastAsia" w:ascii="宋体" w:hAnsi="宋体" w:eastAsia="宋体" w:cs="宋体"/>
          <w:szCs w:val="21"/>
          <w:lang w:eastAsia="zh-CN"/>
        </w:rPr>
        <w:t>招标活动</w:t>
      </w:r>
      <w:r>
        <w:rPr>
          <w:rFonts w:hint="eastAsia" w:ascii="宋体" w:hAnsi="宋体" w:eastAsia="宋体" w:cs="宋体"/>
          <w:szCs w:val="21"/>
        </w:rPr>
        <w:t>的；</w:t>
      </w:r>
    </w:p>
    <w:p w14:paraId="5F3AE1A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w:t>
      </w:r>
      <w:r>
        <w:rPr>
          <w:rFonts w:hint="eastAsia" w:ascii="宋体" w:hAnsi="宋体" w:eastAsia="宋体" w:cs="宋体"/>
          <w:szCs w:val="21"/>
          <w:lang w:eastAsia="zh-CN"/>
        </w:rPr>
        <w:t>招标活动</w:t>
      </w:r>
      <w:r>
        <w:rPr>
          <w:rFonts w:hint="eastAsia" w:ascii="宋体" w:hAnsi="宋体" w:eastAsia="宋体" w:cs="宋体"/>
          <w:szCs w:val="21"/>
        </w:rPr>
        <w:t>的。</w:t>
      </w:r>
    </w:p>
    <w:p w14:paraId="15E4CF4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如有虚假，招标人可取消我方任何资格（投标/中标/签订合同），我方对此无任何异议，并承担一切后果。</w:t>
      </w:r>
    </w:p>
    <w:p w14:paraId="0F8EF82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特此承诺！</w:t>
      </w:r>
    </w:p>
    <w:p w14:paraId="611DFA8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投标人全称（盖章）：</w:t>
      </w:r>
    </w:p>
    <w:p w14:paraId="60BBEF1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日期：  年  月  日</w:t>
      </w:r>
    </w:p>
    <w:p w14:paraId="1D6A393C">
      <w:pPr>
        <w:rPr>
          <w:rFonts w:hint="eastAsia" w:ascii="宋体" w:hAnsi="宋体" w:cs="宋体"/>
          <w:b/>
          <w:bCs/>
          <w:szCs w:val="21"/>
        </w:rPr>
      </w:pPr>
      <w:r>
        <w:rPr>
          <w:rFonts w:hint="eastAsia" w:ascii="宋体" w:hAnsi="宋体" w:cs="宋体"/>
          <w:b/>
          <w:bCs/>
          <w:szCs w:val="21"/>
        </w:rPr>
        <w:br w:type="page"/>
      </w:r>
    </w:p>
    <w:p w14:paraId="4C6BB6B5">
      <w:pPr>
        <w:widowControl/>
        <w:adjustRightInd w:val="0"/>
        <w:snapToGrid w:val="0"/>
        <w:spacing w:line="360" w:lineRule="auto"/>
        <w:ind w:firstLine="632" w:firstLineChars="300"/>
        <w:jc w:val="left"/>
        <w:rPr>
          <w:rFonts w:hint="eastAsia" w:ascii="宋体" w:hAnsi="宋体" w:cs="宋体"/>
          <w:b/>
          <w:bCs/>
          <w:szCs w:val="21"/>
        </w:rPr>
      </w:pPr>
      <w:r>
        <w:rPr>
          <w:rFonts w:hint="eastAsia" w:ascii="宋体" w:hAnsi="宋体" w:cs="宋体"/>
          <w:b/>
          <w:bCs/>
          <w:szCs w:val="21"/>
        </w:rPr>
        <w:t>（3）信用截图</w:t>
      </w:r>
    </w:p>
    <w:p w14:paraId="6DABCB0B">
      <w:pPr>
        <w:widowControl/>
        <w:adjustRightInd w:val="0"/>
        <w:snapToGrid w:val="0"/>
        <w:spacing w:line="360" w:lineRule="auto"/>
        <w:jc w:val="left"/>
        <w:rPr>
          <w:rFonts w:hint="eastAsia" w:ascii="宋体" w:hAnsi="宋体" w:cs="宋体"/>
        </w:rPr>
      </w:pPr>
      <w:r>
        <w:rPr>
          <w:rFonts w:hint="eastAsia" w:ascii="宋体" w:hAnsi="宋体" w:cs="宋体"/>
          <w:szCs w:val="21"/>
        </w:rPr>
        <w:t>（被“信用中国”（www.creditchina.gov.cn）列入失信被执行人名单或重大税收违法案件当事人名单或被国家企业信用信息公示系统（www.gsxt.gov.cn）列入严重违法失信企业名单）</w:t>
      </w:r>
    </w:p>
    <w:p w14:paraId="0178F0A5">
      <w:pPr>
        <w:spacing w:line="360" w:lineRule="auto"/>
        <w:rPr>
          <w:rFonts w:hint="eastAsia" w:ascii="宋体" w:hAnsi="宋体" w:cs="宋体"/>
          <w:b/>
          <w:spacing w:val="20"/>
          <w:szCs w:val="21"/>
        </w:rPr>
      </w:pPr>
    </w:p>
    <w:p w14:paraId="5C1A46DD">
      <w:pPr>
        <w:pStyle w:val="2"/>
        <w:ind w:firstLine="422"/>
        <w:jc w:val="center"/>
        <w:rPr>
          <w:rFonts w:hint="eastAsia" w:ascii="宋体" w:hAnsi="宋体" w:cs="宋体"/>
        </w:rPr>
      </w:pPr>
      <w:r>
        <w:rPr>
          <w:rFonts w:hint="eastAsia" w:ascii="宋体" w:hAnsi="宋体" w:cs="宋体"/>
        </w:rPr>
        <w:br w:type="page"/>
      </w:r>
      <w:r>
        <w:rPr>
          <w:rFonts w:hint="eastAsia" w:ascii="宋体" w:hAnsi="宋体" w:cs="宋体"/>
        </w:rPr>
        <w:t>五、所有资质文件（复印件）</w:t>
      </w:r>
    </w:p>
    <w:p w14:paraId="4155627E">
      <w:pPr>
        <w:spacing w:line="360" w:lineRule="auto"/>
        <w:jc w:val="center"/>
        <w:rPr>
          <w:rFonts w:hint="eastAsia" w:ascii="宋体" w:hAnsi="宋体" w:cs="宋体"/>
          <w:szCs w:val="20"/>
        </w:rPr>
      </w:pPr>
      <w:r>
        <w:rPr>
          <w:rFonts w:hint="eastAsia" w:ascii="宋体" w:hAnsi="宋体" w:cs="宋体"/>
          <w:szCs w:val="20"/>
        </w:rPr>
        <w:t>（由投标人根据招标需求及招标文件要求自行提供）</w:t>
      </w:r>
    </w:p>
    <w:p w14:paraId="2F203711">
      <w:pPr>
        <w:spacing w:line="360" w:lineRule="auto"/>
        <w:rPr>
          <w:rFonts w:hint="eastAsia" w:ascii="宋体" w:hAnsi="宋体" w:cs="宋体"/>
          <w:b/>
          <w:spacing w:val="20"/>
          <w:szCs w:val="21"/>
        </w:rPr>
      </w:pPr>
    </w:p>
    <w:p w14:paraId="50028DD6">
      <w:pPr>
        <w:spacing w:line="360" w:lineRule="auto"/>
        <w:rPr>
          <w:rFonts w:hint="eastAsia" w:ascii="宋体" w:hAnsi="宋体" w:cs="宋体"/>
          <w:spacing w:val="20"/>
          <w:szCs w:val="21"/>
        </w:rPr>
      </w:pPr>
    </w:p>
    <w:p w14:paraId="1421FA77">
      <w:pPr>
        <w:pStyle w:val="2"/>
        <w:ind w:firstLine="0" w:firstLineChars="0"/>
        <w:jc w:val="center"/>
        <w:rPr>
          <w:rFonts w:hint="eastAsia" w:ascii="宋体" w:hAnsi="宋体" w:cs="宋体"/>
        </w:rPr>
      </w:pPr>
      <w:r>
        <w:rPr>
          <w:rFonts w:hint="eastAsia" w:ascii="宋体" w:hAnsi="宋体" w:cs="宋体"/>
        </w:rPr>
        <w:t>六、公司介绍</w:t>
      </w:r>
    </w:p>
    <w:p w14:paraId="2FA9EBB6">
      <w:pPr>
        <w:spacing w:line="360" w:lineRule="auto"/>
        <w:jc w:val="center"/>
        <w:rPr>
          <w:rFonts w:hint="eastAsia" w:ascii="宋体" w:hAnsi="宋体" w:cs="宋体"/>
          <w:b/>
          <w:spacing w:val="20"/>
          <w:szCs w:val="21"/>
        </w:rPr>
      </w:pPr>
      <w:r>
        <w:rPr>
          <w:rFonts w:hint="eastAsia" w:ascii="宋体" w:hAnsi="宋体" w:cs="宋体"/>
          <w:szCs w:val="20"/>
        </w:rPr>
        <w:t>（由投标人自行编制）</w:t>
      </w:r>
    </w:p>
    <w:p w14:paraId="04F088AE">
      <w:pPr>
        <w:pStyle w:val="2"/>
        <w:ind w:firstLine="0" w:firstLineChars="0"/>
        <w:jc w:val="center"/>
        <w:rPr>
          <w:rFonts w:hint="eastAsia" w:ascii="宋体" w:hAnsi="宋体" w:cs="宋体"/>
        </w:rPr>
      </w:pPr>
    </w:p>
    <w:p w14:paraId="4D473F16">
      <w:pPr>
        <w:rPr>
          <w:rFonts w:hint="eastAsia" w:ascii="宋体" w:hAnsi="宋体" w:cs="宋体"/>
        </w:rPr>
      </w:pPr>
    </w:p>
    <w:p w14:paraId="03DD5F38">
      <w:pPr>
        <w:pStyle w:val="2"/>
        <w:rPr>
          <w:rFonts w:hint="eastAsia"/>
        </w:rPr>
      </w:pPr>
    </w:p>
    <w:p w14:paraId="5550E923">
      <w:pPr>
        <w:pStyle w:val="2"/>
        <w:ind w:firstLine="0" w:firstLineChars="0"/>
        <w:jc w:val="center"/>
        <w:rPr>
          <w:rFonts w:hint="eastAsia" w:ascii="宋体" w:hAnsi="宋体" w:cs="宋体"/>
        </w:rPr>
      </w:pPr>
      <w:r>
        <w:rPr>
          <w:rFonts w:hint="eastAsia" w:ascii="宋体" w:hAnsi="宋体" w:cs="宋体"/>
        </w:rPr>
        <w:t>七、其他资信资料</w:t>
      </w:r>
    </w:p>
    <w:p w14:paraId="59D1E69F">
      <w:pPr>
        <w:spacing w:line="360" w:lineRule="auto"/>
        <w:jc w:val="center"/>
        <w:rPr>
          <w:rFonts w:hint="eastAsia" w:ascii="宋体" w:hAnsi="宋体" w:cs="宋体"/>
          <w:b/>
          <w:spacing w:val="20"/>
          <w:szCs w:val="21"/>
        </w:rPr>
      </w:pPr>
      <w:r>
        <w:rPr>
          <w:rFonts w:hint="eastAsia" w:ascii="宋体" w:hAnsi="宋体" w:cs="宋体"/>
          <w:szCs w:val="20"/>
        </w:rPr>
        <w:t>（由投标人自行提供）</w:t>
      </w:r>
    </w:p>
    <w:p w14:paraId="698F3B5E">
      <w:pPr>
        <w:pStyle w:val="2"/>
        <w:ind w:firstLine="422"/>
        <w:jc w:val="center"/>
        <w:rPr>
          <w:rFonts w:hint="eastAsia" w:ascii="宋体" w:hAnsi="宋体" w:cs="宋体"/>
          <w:b w:val="0"/>
          <w:spacing w:val="20"/>
          <w:szCs w:val="21"/>
        </w:rPr>
      </w:pPr>
      <w:r>
        <w:rPr>
          <w:rFonts w:hint="eastAsia" w:ascii="宋体" w:hAnsi="宋体" w:cs="宋体"/>
        </w:rPr>
        <w:br w:type="page"/>
      </w:r>
      <w:r>
        <w:rPr>
          <w:rFonts w:hint="eastAsia" w:ascii="宋体" w:hAnsi="宋体" w:cs="宋体"/>
        </w:rPr>
        <w:t>八、商务偏离说明</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564"/>
        <w:gridCol w:w="2531"/>
        <w:gridCol w:w="1657"/>
      </w:tblGrid>
      <w:tr w14:paraId="2B1E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14:paraId="6E7D1C0B">
            <w:pPr>
              <w:spacing w:line="360" w:lineRule="auto"/>
              <w:jc w:val="center"/>
              <w:rPr>
                <w:rFonts w:hint="eastAsia" w:ascii="宋体" w:hAnsi="宋体" w:cs="宋体"/>
                <w:spacing w:val="20"/>
                <w:szCs w:val="21"/>
              </w:rPr>
            </w:pPr>
            <w:r>
              <w:rPr>
                <w:rFonts w:hint="eastAsia" w:ascii="宋体" w:hAnsi="宋体" w:cs="宋体"/>
                <w:spacing w:val="20"/>
                <w:szCs w:val="21"/>
              </w:rPr>
              <w:t>招标文件条目号</w:t>
            </w:r>
          </w:p>
        </w:tc>
        <w:tc>
          <w:tcPr>
            <w:tcW w:w="2564" w:type="dxa"/>
          </w:tcPr>
          <w:p w14:paraId="471EF6CF">
            <w:pPr>
              <w:spacing w:line="360" w:lineRule="auto"/>
              <w:jc w:val="center"/>
              <w:rPr>
                <w:rFonts w:hint="eastAsia" w:ascii="宋体" w:hAnsi="宋体" w:cs="宋体"/>
                <w:spacing w:val="20"/>
                <w:szCs w:val="21"/>
              </w:rPr>
            </w:pPr>
            <w:r>
              <w:rPr>
                <w:rFonts w:hint="eastAsia" w:ascii="宋体" w:hAnsi="宋体" w:cs="宋体"/>
                <w:spacing w:val="20"/>
                <w:szCs w:val="21"/>
              </w:rPr>
              <w:t>招标文件商务条款</w:t>
            </w:r>
          </w:p>
        </w:tc>
        <w:tc>
          <w:tcPr>
            <w:tcW w:w="2531" w:type="dxa"/>
          </w:tcPr>
          <w:p w14:paraId="375ADC6A">
            <w:pPr>
              <w:spacing w:line="360" w:lineRule="auto"/>
              <w:jc w:val="center"/>
              <w:rPr>
                <w:rFonts w:hint="eastAsia" w:ascii="宋体" w:hAnsi="宋体" w:cs="宋体"/>
                <w:spacing w:val="20"/>
                <w:szCs w:val="21"/>
              </w:rPr>
            </w:pPr>
            <w:r>
              <w:rPr>
                <w:rFonts w:hint="eastAsia" w:ascii="宋体" w:hAnsi="宋体" w:cs="宋体"/>
                <w:spacing w:val="20"/>
                <w:szCs w:val="21"/>
              </w:rPr>
              <w:t>投标文件商务条款</w:t>
            </w:r>
          </w:p>
        </w:tc>
        <w:tc>
          <w:tcPr>
            <w:tcW w:w="1657" w:type="dxa"/>
          </w:tcPr>
          <w:p w14:paraId="4598A74D">
            <w:pPr>
              <w:spacing w:line="360" w:lineRule="auto"/>
              <w:jc w:val="center"/>
              <w:rPr>
                <w:rFonts w:hint="eastAsia" w:ascii="宋体" w:hAnsi="宋体" w:cs="宋体"/>
                <w:spacing w:val="20"/>
                <w:szCs w:val="21"/>
              </w:rPr>
            </w:pPr>
            <w:r>
              <w:rPr>
                <w:rFonts w:hint="eastAsia" w:ascii="宋体" w:hAnsi="宋体" w:cs="宋体"/>
                <w:spacing w:val="20"/>
                <w:szCs w:val="21"/>
              </w:rPr>
              <w:t>说明</w:t>
            </w:r>
          </w:p>
        </w:tc>
      </w:tr>
      <w:tr w14:paraId="53AC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14:paraId="5B2F5301">
            <w:pPr>
              <w:spacing w:line="360" w:lineRule="auto"/>
              <w:jc w:val="center"/>
              <w:rPr>
                <w:rFonts w:hint="eastAsia" w:ascii="宋体" w:hAnsi="宋体" w:cs="宋体"/>
                <w:spacing w:val="20"/>
                <w:szCs w:val="21"/>
              </w:rPr>
            </w:pPr>
          </w:p>
        </w:tc>
        <w:tc>
          <w:tcPr>
            <w:tcW w:w="2564" w:type="dxa"/>
          </w:tcPr>
          <w:p w14:paraId="3207A9EB">
            <w:pPr>
              <w:spacing w:line="360" w:lineRule="auto"/>
              <w:jc w:val="center"/>
              <w:rPr>
                <w:rFonts w:hint="eastAsia" w:ascii="宋体" w:hAnsi="宋体" w:cs="宋体"/>
                <w:spacing w:val="20"/>
                <w:szCs w:val="21"/>
              </w:rPr>
            </w:pPr>
          </w:p>
        </w:tc>
        <w:tc>
          <w:tcPr>
            <w:tcW w:w="2531" w:type="dxa"/>
          </w:tcPr>
          <w:p w14:paraId="545C9CBA">
            <w:pPr>
              <w:spacing w:line="360" w:lineRule="auto"/>
              <w:jc w:val="center"/>
              <w:rPr>
                <w:rFonts w:hint="eastAsia" w:ascii="宋体" w:hAnsi="宋体" w:cs="宋体"/>
                <w:spacing w:val="20"/>
                <w:szCs w:val="21"/>
              </w:rPr>
            </w:pPr>
          </w:p>
        </w:tc>
        <w:tc>
          <w:tcPr>
            <w:tcW w:w="1657" w:type="dxa"/>
          </w:tcPr>
          <w:p w14:paraId="06446EEA">
            <w:pPr>
              <w:spacing w:line="360" w:lineRule="auto"/>
              <w:jc w:val="center"/>
              <w:rPr>
                <w:rFonts w:hint="eastAsia" w:ascii="宋体" w:hAnsi="宋体" w:cs="宋体"/>
                <w:spacing w:val="20"/>
                <w:szCs w:val="21"/>
              </w:rPr>
            </w:pPr>
          </w:p>
        </w:tc>
      </w:tr>
      <w:tr w14:paraId="24C6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14:paraId="2E9237D0">
            <w:pPr>
              <w:spacing w:line="360" w:lineRule="auto"/>
              <w:jc w:val="center"/>
              <w:rPr>
                <w:rFonts w:hint="eastAsia" w:ascii="宋体" w:hAnsi="宋体" w:cs="宋体"/>
                <w:spacing w:val="20"/>
                <w:szCs w:val="21"/>
              </w:rPr>
            </w:pPr>
          </w:p>
        </w:tc>
        <w:tc>
          <w:tcPr>
            <w:tcW w:w="2564" w:type="dxa"/>
          </w:tcPr>
          <w:p w14:paraId="6301B5EF">
            <w:pPr>
              <w:spacing w:line="360" w:lineRule="auto"/>
              <w:jc w:val="center"/>
              <w:rPr>
                <w:rFonts w:hint="eastAsia" w:ascii="宋体" w:hAnsi="宋体" w:cs="宋体"/>
                <w:spacing w:val="20"/>
                <w:szCs w:val="21"/>
              </w:rPr>
            </w:pPr>
          </w:p>
        </w:tc>
        <w:tc>
          <w:tcPr>
            <w:tcW w:w="2531" w:type="dxa"/>
          </w:tcPr>
          <w:p w14:paraId="71A5D8F9">
            <w:pPr>
              <w:spacing w:line="360" w:lineRule="auto"/>
              <w:jc w:val="center"/>
              <w:rPr>
                <w:rFonts w:hint="eastAsia" w:ascii="宋体" w:hAnsi="宋体" w:cs="宋体"/>
                <w:spacing w:val="20"/>
                <w:szCs w:val="21"/>
              </w:rPr>
            </w:pPr>
          </w:p>
        </w:tc>
        <w:tc>
          <w:tcPr>
            <w:tcW w:w="1657" w:type="dxa"/>
          </w:tcPr>
          <w:p w14:paraId="067B9431">
            <w:pPr>
              <w:spacing w:line="360" w:lineRule="auto"/>
              <w:jc w:val="center"/>
              <w:rPr>
                <w:rFonts w:hint="eastAsia" w:ascii="宋体" w:hAnsi="宋体" w:cs="宋体"/>
                <w:spacing w:val="20"/>
                <w:szCs w:val="21"/>
              </w:rPr>
            </w:pPr>
          </w:p>
        </w:tc>
      </w:tr>
      <w:tr w14:paraId="7E13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14:paraId="4DE6E301">
            <w:pPr>
              <w:spacing w:line="360" w:lineRule="auto"/>
              <w:ind w:firstLine="560"/>
              <w:jc w:val="center"/>
              <w:rPr>
                <w:rFonts w:hint="eastAsia" w:ascii="宋体" w:hAnsi="宋体" w:cs="宋体"/>
                <w:spacing w:val="20"/>
                <w:szCs w:val="21"/>
              </w:rPr>
            </w:pPr>
          </w:p>
        </w:tc>
        <w:tc>
          <w:tcPr>
            <w:tcW w:w="2564" w:type="dxa"/>
          </w:tcPr>
          <w:p w14:paraId="358F52D8">
            <w:pPr>
              <w:spacing w:line="360" w:lineRule="auto"/>
              <w:jc w:val="center"/>
              <w:rPr>
                <w:rFonts w:hint="eastAsia" w:ascii="宋体" w:hAnsi="宋体" w:cs="宋体"/>
                <w:spacing w:val="20"/>
                <w:szCs w:val="21"/>
              </w:rPr>
            </w:pPr>
          </w:p>
        </w:tc>
        <w:tc>
          <w:tcPr>
            <w:tcW w:w="2531" w:type="dxa"/>
          </w:tcPr>
          <w:p w14:paraId="0BD6503F">
            <w:pPr>
              <w:spacing w:line="360" w:lineRule="auto"/>
              <w:jc w:val="center"/>
              <w:rPr>
                <w:rFonts w:hint="eastAsia" w:ascii="宋体" w:hAnsi="宋体" w:cs="宋体"/>
                <w:spacing w:val="20"/>
                <w:szCs w:val="21"/>
              </w:rPr>
            </w:pPr>
          </w:p>
        </w:tc>
        <w:tc>
          <w:tcPr>
            <w:tcW w:w="1657" w:type="dxa"/>
          </w:tcPr>
          <w:p w14:paraId="33D01CA4">
            <w:pPr>
              <w:spacing w:line="360" w:lineRule="auto"/>
              <w:jc w:val="center"/>
              <w:rPr>
                <w:rFonts w:hint="eastAsia" w:ascii="宋体" w:hAnsi="宋体" w:cs="宋体"/>
                <w:spacing w:val="20"/>
                <w:szCs w:val="21"/>
              </w:rPr>
            </w:pPr>
          </w:p>
        </w:tc>
      </w:tr>
    </w:tbl>
    <w:p w14:paraId="24A2A385">
      <w:pPr>
        <w:spacing w:line="360" w:lineRule="auto"/>
        <w:rPr>
          <w:rFonts w:hint="eastAsia" w:ascii="宋体" w:hAnsi="宋体" w:cs="宋体"/>
          <w:szCs w:val="20"/>
        </w:rPr>
      </w:pPr>
      <w:r>
        <w:rPr>
          <w:rFonts w:hint="eastAsia" w:ascii="宋体" w:hAnsi="宋体" w:cs="宋体"/>
          <w:szCs w:val="20"/>
        </w:rPr>
        <w:t>注：对招标文件有任何偏离（包括正偏离及负偏离）均应汇总并填写在此表中，不填写此表视作完全响应本招标文件要求。</w:t>
      </w:r>
    </w:p>
    <w:p w14:paraId="2EA1501F">
      <w:pPr>
        <w:spacing w:line="360" w:lineRule="auto"/>
        <w:jc w:val="left"/>
        <w:rPr>
          <w:rFonts w:hint="eastAsia" w:ascii="宋体" w:hAnsi="宋体" w:cs="宋体"/>
          <w:szCs w:val="20"/>
        </w:rPr>
      </w:pPr>
    </w:p>
    <w:p w14:paraId="289A4D45">
      <w:pPr>
        <w:pStyle w:val="18"/>
        <w:adjustRightInd w:val="0"/>
        <w:snapToGrid w:val="0"/>
        <w:spacing w:line="360" w:lineRule="auto"/>
        <w:ind w:firstLine="4884" w:firstLineChars="2326"/>
        <w:rPr>
          <w:rFonts w:hint="eastAsia" w:hAnsi="宋体" w:cs="宋体"/>
        </w:rPr>
      </w:pPr>
    </w:p>
    <w:p w14:paraId="2123CF3C">
      <w:pPr>
        <w:pStyle w:val="18"/>
        <w:adjustRightInd w:val="0"/>
        <w:snapToGrid w:val="0"/>
        <w:spacing w:line="360" w:lineRule="auto"/>
        <w:ind w:firstLine="4884" w:firstLineChars="2326"/>
        <w:rPr>
          <w:rFonts w:hint="eastAsia" w:hAnsi="宋体" w:cs="宋体"/>
        </w:rPr>
      </w:pPr>
      <w:r>
        <w:rPr>
          <w:rFonts w:hint="eastAsia" w:hAnsi="宋体" w:cs="宋体"/>
        </w:rPr>
        <w:t>投标人全称（盖单位公章）：</w:t>
      </w:r>
      <w:r>
        <w:rPr>
          <w:rFonts w:hint="eastAsia" w:hAnsi="宋体" w:cs="宋体"/>
          <w:u w:val="single"/>
        </w:rPr>
        <w:t xml:space="preserve">         </w:t>
      </w:r>
    </w:p>
    <w:p w14:paraId="4EC71ACA">
      <w:pPr>
        <w:pStyle w:val="18"/>
        <w:adjustRightInd w:val="0"/>
        <w:snapToGrid w:val="0"/>
        <w:spacing w:line="360" w:lineRule="auto"/>
        <w:ind w:firstLine="4884" w:firstLineChars="2326"/>
        <w:rPr>
          <w:rFonts w:hint="eastAsia" w:hAnsi="宋体" w:cs="宋体"/>
          <w:kern w:val="0"/>
          <w:szCs w:val="21"/>
        </w:rPr>
      </w:pPr>
      <w:r>
        <w:rPr>
          <w:rFonts w:hint="eastAsia" w:hAnsi="宋体" w:cs="宋体"/>
        </w:rPr>
        <w:t>日期：</w:t>
      </w:r>
      <w:r>
        <w:rPr>
          <w:rFonts w:hint="eastAsia" w:hAnsi="宋体" w:cs="宋体"/>
          <w:kern w:val="0"/>
          <w:szCs w:val="21"/>
        </w:rPr>
        <w:t xml:space="preserve">   年  月  日</w:t>
      </w:r>
    </w:p>
    <w:p w14:paraId="24B67304">
      <w:pPr>
        <w:spacing w:line="360" w:lineRule="auto"/>
        <w:jc w:val="center"/>
        <w:rPr>
          <w:rFonts w:hint="eastAsia" w:ascii="宋体" w:hAnsi="宋体" w:cs="宋体"/>
        </w:rPr>
      </w:pPr>
    </w:p>
    <w:p w14:paraId="70D8E213">
      <w:pPr>
        <w:rPr>
          <w:rFonts w:hint="eastAsia" w:ascii="宋体" w:hAnsi="宋体" w:cs="宋体"/>
        </w:rPr>
      </w:pPr>
    </w:p>
    <w:p w14:paraId="5C5886DC">
      <w:pPr>
        <w:spacing w:line="360" w:lineRule="auto"/>
        <w:rPr>
          <w:rFonts w:hint="eastAsia" w:ascii="宋体" w:hAnsi="宋体" w:cs="宋体"/>
          <w:b/>
          <w:spacing w:val="20"/>
          <w:szCs w:val="21"/>
        </w:rPr>
      </w:pPr>
    </w:p>
    <w:p w14:paraId="77C4B8DF">
      <w:pPr>
        <w:spacing w:line="360" w:lineRule="auto"/>
        <w:rPr>
          <w:rFonts w:hint="eastAsia" w:ascii="宋体" w:hAnsi="宋体" w:cs="宋体"/>
          <w:b/>
          <w:spacing w:val="20"/>
          <w:szCs w:val="21"/>
        </w:rPr>
      </w:pPr>
    </w:p>
    <w:p w14:paraId="55261D39">
      <w:pPr>
        <w:spacing w:line="360" w:lineRule="auto"/>
        <w:jc w:val="center"/>
        <w:rPr>
          <w:rFonts w:hint="eastAsia" w:ascii="宋体" w:hAnsi="宋体" w:cs="宋体"/>
          <w:b/>
          <w:spacing w:val="20"/>
          <w:szCs w:val="21"/>
        </w:rPr>
      </w:pPr>
    </w:p>
    <w:p w14:paraId="41384721">
      <w:pPr>
        <w:pStyle w:val="2"/>
        <w:ind w:firstLine="0" w:firstLineChars="0"/>
        <w:jc w:val="center"/>
        <w:rPr>
          <w:rFonts w:hint="eastAsia" w:ascii="宋体" w:hAnsi="宋体" w:cs="宋体"/>
        </w:rPr>
      </w:pPr>
      <w:r>
        <w:rPr>
          <w:rFonts w:hint="eastAsia" w:ascii="宋体" w:hAnsi="宋体" w:cs="宋体"/>
        </w:rPr>
        <w:t>九、其他商务文件或说明</w:t>
      </w:r>
    </w:p>
    <w:p w14:paraId="2C474C38">
      <w:pPr>
        <w:spacing w:line="360" w:lineRule="auto"/>
        <w:jc w:val="center"/>
        <w:rPr>
          <w:rFonts w:hint="eastAsia" w:ascii="宋体" w:hAnsi="宋体" w:cs="宋体"/>
          <w:szCs w:val="20"/>
        </w:rPr>
      </w:pPr>
      <w:r>
        <w:rPr>
          <w:rFonts w:hint="eastAsia" w:ascii="宋体" w:hAnsi="宋体" w:cs="宋体"/>
          <w:szCs w:val="20"/>
        </w:rPr>
        <w:t>（由投标人根据招标需求及招标文件要求自行编写）</w:t>
      </w:r>
    </w:p>
    <w:p w14:paraId="7A23D44E">
      <w:pPr>
        <w:spacing w:line="360" w:lineRule="auto"/>
        <w:jc w:val="center"/>
        <w:rPr>
          <w:rFonts w:hint="eastAsia" w:ascii="宋体" w:hAnsi="宋体" w:cs="宋体"/>
          <w:b/>
          <w:spacing w:val="20"/>
          <w:szCs w:val="21"/>
        </w:rPr>
      </w:pPr>
    </w:p>
    <w:p w14:paraId="729E2412">
      <w:pPr>
        <w:spacing w:line="360" w:lineRule="auto"/>
        <w:jc w:val="center"/>
        <w:rPr>
          <w:rFonts w:hint="eastAsia" w:ascii="宋体" w:hAnsi="宋体" w:cs="宋体"/>
          <w:b/>
          <w:spacing w:val="20"/>
          <w:szCs w:val="21"/>
        </w:rPr>
      </w:pPr>
    </w:p>
    <w:p w14:paraId="0ADEA663">
      <w:pPr>
        <w:spacing w:line="360" w:lineRule="auto"/>
        <w:jc w:val="right"/>
        <w:rPr>
          <w:rFonts w:hint="eastAsia" w:ascii="宋体" w:hAnsi="宋体" w:cs="宋体"/>
          <w:spacing w:val="20"/>
          <w:szCs w:val="21"/>
        </w:rPr>
      </w:pPr>
      <w:r>
        <w:rPr>
          <w:rFonts w:hint="eastAsia" w:ascii="宋体" w:hAnsi="宋体" w:cs="宋体"/>
          <w:spacing w:val="20"/>
          <w:szCs w:val="21"/>
        </w:rPr>
        <w:br w:type="page"/>
      </w:r>
    </w:p>
    <w:p w14:paraId="6D6D9C1D">
      <w:pPr>
        <w:pStyle w:val="2"/>
        <w:ind w:firstLine="422"/>
        <w:jc w:val="center"/>
        <w:rPr>
          <w:rFonts w:hint="eastAsia" w:ascii="宋体" w:hAnsi="宋体" w:cs="宋体"/>
        </w:rPr>
      </w:pPr>
      <w:r>
        <w:rPr>
          <w:rFonts w:hint="eastAsia" w:ascii="宋体" w:hAnsi="宋体" w:cs="宋体"/>
        </w:rPr>
        <w:t>十、廉政承诺书</w:t>
      </w:r>
    </w:p>
    <w:p w14:paraId="6A7ECC60">
      <w:pPr>
        <w:spacing w:line="360" w:lineRule="auto"/>
        <w:rPr>
          <w:rFonts w:hint="eastAsia" w:ascii="宋体" w:hAnsi="宋体" w:cs="宋体"/>
          <w:szCs w:val="21"/>
        </w:rPr>
      </w:pPr>
      <w:r>
        <w:rPr>
          <w:rFonts w:hint="eastAsia" w:ascii="宋体" w:hAnsi="宋体" w:cs="宋体"/>
          <w:b/>
          <w:bCs/>
          <w:szCs w:val="21"/>
        </w:rPr>
        <w:t>浙江省二轻集团有限责任公司：</w:t>
      </w:r>
    </w:p>
    <w:p w14:paraId="6A06F76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我单位响应你单位项目招标要求参加投标。在这次投标过程中和中标后，我们将严格遵守国家法律法规要求，并郑重承诺： </w:t>
      </w:r>
    </w:p>
    <w:p w14:paraId="6237EA6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一、不向项目有关人员及部门赠送礼金礼物、有价证券、回扣以及中介费、介绍费、咨询费等好处费；</w:t>
      </w:r>
    </w:p>
    <w:p w14:paraId="4D29705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二、不为项目有关人员及部门报销应由你方单位或个人支付的费用；</w:t>
      </w:r>
    </w:p>
    <w:p w14:paraId="7D520DE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三、不向项目有关人员及部门提供有可能影响公正的宴请和健身娱乐等活动；</w:t>
      </w:r>
    </w:p>
    <w:p w14:paraId="4B6E5A6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四、不为项目有关人员及部门出国（境）、旅游等提供方便；</w:t>
      </w:r>
    </w:p>
    <w:p w14:paraId="3437325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五、不为项目有关人员个人装修住房、婚丧嫁娶、配偶子女工作安排等提供好处；</w:t>
      </w:r>
    </w:p>
    <w:p w14:paraId="3880A2C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六、严格遵守招标投标法、合同法等法律，诚实守信，合法经营，坚决抵制各种违法违纪行为。</w:t>
      </w:r>
    </w:p>
    <w:p w14:paraId="29FC028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如违反上述承诺，你单位有权立即取消我单位投标、中标或在履约项目的建设资格，有权拒绝我单位在一定时期内进入你单位进行招投标或其他经营活动，并通报相关单位。由此引起的相应损失均由我单位承担。</w:t>
      </w:r>
    </w:p>
    <w:p w14:paraId="017FDE42">
      <w:pPr>
        <w:spacing w:line="360" w:lineRule="auto"/>
        <w:rPr>
          <w:rFonts w:hint="eastAsia" w:ascii="宋体" w:hAnsi="宋体" w:cs="宋体"/>
          <w:szCs w:val="21"/>
        </w:rPr>
      </w:pPr>
    </w:p>
    <w:p w14:paraId="055C1F5F">
      <w:pPr>
        <w:spacing w:line="360" w:lineRule="auto"/>
        <w:rPr>
          <w:rFonts w:hint="eastAsia" w:ascii="宋体" w:hAnsi="宋体" w:cs="宋体"/>
          <w:szCs w:val="21"/>
        </w:rPr>
      </w:pPr>
    </w:p>
    <w:p w14:paraId="0862BEE0">
      <w:pPr>
        <w:spacing w:line="360" w:lineRule="auto"/>
        <w:rPr>
          <w:rFonts w:hint="eastAsia" w:ascii="宋体" w:hAnsi="宋体" w:cs="宋体"/>
          <w:szCs w:val="21"/>
        </w:rPr>
      </w:pPr>
    </w:p>
    <w:p w14:paraId="47F5D1E8">
      <w:pPr>
        <w:pStyle w:val="18"/>
        <w:adjustRightInd w:val="0"/>
        <w:snapToGrid w:val="0"/>
        <w:spacing w:line="360" w:lineRule="auto"/>
        <w:ind w:firstLine="4884" w:firstLineChars="2326"/>
        <w:rPr>
          <w:rFonts w:hint="eastAsia" w:hAnsi="宋体" w:cs="宋体"/>
        </w:rPr>
      </w:pPr>
      <w:r>
        <w:rPr>
          <w:rFonts w:hint="eastAsia" w:hAnsi="宋体" w:cs="宋体"/>
        </w:rPr>
        <w:t>投标人全称（盖单位公章）：</w:t>
      </w:r>
      <w:r>
        <w:rPr>
          <w:rFonts w:hint="eastAsia" w:hAnsi="宋体" w:cs="宋体"/>
          <w:u w:val="single"/>
        </w:rPr>
        <w:t xml:space="preserve">         </w:t>
      </w:r>
    </w:p>
    <w:p w14:paraId="5BC05716">
      <w:pPr>
        <w:pStyle w:val="18"/>
        <w:adjustRightInd w:val="0"/>
        <w:snapToGrid w:val="0"/>
        <w:spacing w:line="360" w:lineRule="auto"/>
        <w:ind w:firstLine="4884" w:firstLineChars="2326"/>
        <w:rPr>
          <w:rFonts w:hint="eastAsia" w:hAnsi="宋体" w:cs="宋体"/>
          <w:kern w:val="0"/>
          <w:szCs w:val="21"/>
        </w:rPr>
      </w:pPr>
      <w:r>
        <w:rPr>
          <w:rFonts w:hint="eastAsia" w:hAnsi="宋体" w:cs="宋体"/>
        </w:rPr>
        <w:t>日期：</w:t>
      </w:r>
      <w:r>
        <w:rPr>
          <w:rFonts w:hint="eastAsia" w:hAnsi="宋体" w:cs="宋体"/>
          <w:kern w:val="0"/>
          <w:szCs w:val="21"/>
        </w:rPr>
        <w:t xml:space="preserve">   年  月  日</w:t>
      </w:r>
    </w:p>
    <w:p w14:paraId="47F9FB7A">
      <w:pPr>
        <w:spacing w:line="360" w:lineRule="auto"/>
        <w:jc w:val="center"/>
        <w:rPr>
          <w:rFonts w:hint="eastAsia" w:ascii="宋体" w:hAnsi="宋体" w:cs="宋体"/>
          <w:b/>
          <w:spacing w:val="20"/>
          <w:sz w:val="24"/>
        </w:rPr>
      </w:pPr>
    </w:p>
    <w:p w14:paraId="76B1874B">
      <w:pPr>
        <w:spacing w:line="360" w:lineRule="auto"/>
        <w:jc w:val="center"/>
        <w:rPr>
          <w:rFonts w:hint="eastAsia" w:ascii="宋体" w:hAnsi="宋体" w:cs="宋体"/>
          <w:b/>
          <w:spacing w:val="20"/>
          <w:sz w:val="24"/>
        </w:rPr>
      </w:pPr>
    </w:p>
    <w:p w14:paraId="0BEE12E1">
      <w:pPr>
        <w:spacing w:line="360" w:lineRule="auto"/>
        <w:jc w:val="center"/>
        <w:outlineLvl w:val="1"/>
        <w:rPr>
          <w:rFonts w:hint="eastAsia" w:ascii="宋体" w:hAnsi="宋体" w:cs="宋体"/>
          <w:b/>
          <w:spacing w:val="20"/>
          <w:szCs w:val="21"/>
        </w:rPr>
      </w:pPr>
      <w:r>
        <w:rPr>
          <w:rFonts w:hint="eastAsia" w:ascii="宋体" w:hAnsi="宋体" w:cs="宋体"/>
          <w:b/>
          <w:spacing w:val="20"/>
          <w:sz w:val="24"/>
        </w:rPr>
        <w:br w:type="page"/>
      </w:r>
      <w:r>
        <w:rPr>
          <w:rFonts w:hint="eastAsia" w:ascii="宋体" w:hAnsi="宋体" w:cs="宋体"/>
          <w:b/>
          <w:spacing w:val="20"/>
          <w:sz w:val="24"/>
        </w:rPr>
        <w:t>十一、</w:t>
      </w:r>
      <w:r>
        <w:rPr>
          <w:rFonts w:hint="eastAsia" w:ascii="宋体" w:hAnsi="宋体" w:cs="宋体"/>
          <w:b/>
          <w:spacing w:val="20"/>
          <w:szCs w:val="21"/>
        </w:rPr>
        <w:t>技术文件</w:t>
      </w:r>
    </w:p>
    <w:p w14:paraId="37FB074C">
      <w:pPr>
        <w:spacing w:line="360" w:lineRule="auto"/>
        <w:jc w:val="center"/>
        <w:rPr>
          <w:rFonts w:hint="eastAsia" w:ascii="宋体" w:hAnsi="宋体" w:cs="宋体"/>
          <w:szCs w:val="20"/>
        </w:rPr>
      </w:pPr>
      <w:r>
        <w:rPr>
          <w:rFonts w:hint="eastAsia" w:ascii="宋体" w:hAnsi="宋体" w:cs="宋体"/>
          <w:szCs w:val="20"/>
        </w:rPr>
        <w:t>（由投标人根据招标需求及招标文件要求编写）</w:t>
      </w:r>
    </w:p>
    <w:p w14:paraId="67A95299">
      <w:pPr>
        <w:spacing w:line="360" w:lineRule="auto"/>
        <w:jc w:val="right"/>
        <w:rPr>
          <w:rFonts w:hint="eastAsia" w:ascii="宋体" w:hAnsi="宋体" w:cs="宋体"/>
          <w:b/>
          <w:spacing w:val="20"/>
          <w:szCs w:val="21"/>
        </w:rPr>
      </w:pPr>
    </w:p>
    <w:p w14:paraId="082D5263">
      <w:pPr>
        <w:autoSpaceDE w:val="0"/>
        <w:autoSpaceDN w:val="0"/>
        <w:adjustRightInd w:val="0"/>
        <w:snapToGrid w:val="0"/>
        <w:spacing w:line="360" w:lineRule="auto"/>
        <w:ind w:firstLine="422" w:firstLineChars="200"/>
        <w:textAlignment w:val="bottom"/>
        <w:rPr>
          <w:rFonts w:hint="eastAsia" w:ascii="宋体" w:hAnsi="宋体" w:cs="宋体"/>
          <w:b/>
        </w:rPr>
      </w:pPr>
      <w:r>
        <w:rPr>
          <w:rFonts w:hint="eastAsia" w:ascii="宋体" w:hAnsi="宋体" w:cs="宋体"/>
          <w:b/>
        </w:rPr>
        <w:br w:type="page"/>
      </w:r>
    </w:p>
    <w:p w14:paraId="4D22DBCB">
      <w:pPr>
        <w:pStyle w:val="3"/>
        <w:rPr>
          <w:rFonts w:hint="eastAsia" w:ascii="宋体" w:hAnsi="宋体" w:cs="宋体"/>
          <w:color w:val="auto"/>
        </w:rPr>
      </w:pPr>
      <w:bookmarkStart w:id="56" w:name="_Toc25594"/>
      <w:r>
        <w:rPr>
          <w:rFonts w:hint="eastAsia" w:ascii="宋体" w:hAnsi="宋体" w:cs="宋体"/>
          <w:color w:val="auto"/>
        </w:rPr>
        <w:t>第七章  评标办法</w:t>
      </w:r>
      <w:bookmarkEnd w:id="56"/>
    </w:p>
    <w:p w14:paraId="2B2C98A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为规范招标的评标工作，依据《中华人民共和国招标投标法》等有关法规等的规定，按照公平、公正、科学择优的原则选择中标人，特制定本办法。</w:t>
      </w:r>
    </w:p>
    <w:p w14:paraId="3B58D0DB">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一、评标原则</w:t>
      </w:r>
    </w:p>
    <w:p w14:paraId="4BD2F32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评标应遵循公平、公正、科学、择优的原则。</w:t>
      </w:r>
    </w:p>
    <w:p w14:paraId="32F7807F">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二、评标组织</w:t>
      </w:r>
    </w:p>
    <w:p w14:paraId="7C1354C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评标工作由招标人依法组建的评标委员会负责。</w:t>
      </w:r>
    </w:p>
    <w:p w14:paraId="05E536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评标委员会由技术、经济等方面的专家和招标人代表组成，成员人数为五人或五人以上单数，其中招标人的代表不超过总数的三分之一。</w:t>
      </w:r>
    </w:p>
    <w:p w14:paraId="6A576BE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评标委员会的决定，应符合有关法律、法规和规章，并按少数服从多数的原则产生。</w:t>
      </w:r>
    </w:p>
    <w:p w14:paraId="095D5F47">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三、评标办法和程序</w:t>
      </w:r>
    </w:p>
    <w:p w14:paraId="71F833C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采用综合评分法。</w:t>
      </w:r>
    </w:p>
    <w:p w14:paraId="2739268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3.1</w:t>
      </w:r>
      <w:r>
        <w:rPr>
          <w:rFonts w:hint="eastAsia" w:ascii="宋体" w:hAnsi="宋体" w:eastAsia="宋体" w:cs="宋体"/>
          <w:szCs w:val="21"/>
        </w:rPr>
        <w:t xml:space="preserve">评标的程序： </w:t>
      </w:r>
    </w:p>
    <w:p w14:paraId="4427DE0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熟悉招标文件和评标办法； </w:t>
      </w:r>
    </w:p>
    <w:p w14:paraId="5235A88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投标文件的符合性审查（包括投标人的资格审查）；</w:t>
      </w:r>
    </w:p>
    <w:p w14:paraId="1171D2E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资信业绩及其他评审；</w:t>
      </w:r>
    </w:p>
    <w:p w14:paraId="4AB9B67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投标文件的技术评审； </w:t>
      </w:r>
    </w:p>
    <w:p w14:paraId="0C159C9E">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投标文件的报价评审；</w:t>
      </w:r>
    </w:p>
    <w:p w14:paraId="34245B31">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投标文件的澄清（如需要）；</w:t>
      </w:r>
    </w:p>
    <w:p w14:paraId="031175AC">
      <w:pPr>
        <w:spacing w:after="0" w:line="360" w:lineRule="auto"/>
        <w:ind w:firstLine="420" w:firstLineChars="200"/>
        <w:rPr>
          <w:rFonts w:hint="eastAsia" w:ascii="宋体" w:hAnsi="宋体" w:cs="宋体"/>
          <w:szCs w:val="21"/>
        </w:rPr>
      </w:pPr>
      <w:r>
        <w:rPr>
          <w:rFonts w:hint="eastAsia" w:ascii="宋体" w:hAnsi="宋体" w:eastAsia="宋体" w:cs="宋体"/>
          <w:szCs w:val="21"/>
        </w:rPr>
        <w:t>根据评标办法对投标文件进行评分，完成评标报告，推荐中标候选</w:t>
      </w:r>
      <w:r>
        <w:rPr>
          <w:rFonts w:hint="eastAsia" w:ascii="宋体" w:hAnsi="宋体" w:cs="宋体"/>
          <w:szCs w:val="21"/>
        </w:rPr>
        <w:t>人。</w:t>
      </w:r>
    </w:p>
    <w:p w14:paraId="7B5CB84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3.2</w:t>
      </w:r>
      <w:r>
        <w:rPr>
          <w:rFonts w:hint="eastAsia" w:ascii="宋体" w:hAnsi="宋体" w:eastAsia="宋体" w:cs="宋体"/>
          <w:szCs w:val="21"/>
        </w:rPr>
        <w:t>符合性审查（包括投标人的资格审查）</w:t>
      </w:r>
    </w:p>
    <w:p w14:paraId="7131780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2.1评标委员会将审查投标人资格是否满足招标公告中对投标人的资格要求，如不满足将导致其投标被否决。</w:t>
      </w:r>
    </w:p>
    <w:p w14:paraId="565195E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2.2投标人不得通过补充、修改或撤消投标文件中的内容使其成为实质性响应的投标。投标人在投标截止以后不得提交任何资料作为评标依据。</w:t>
      </w:r>
    </w:p>
    <w:p w14:paraId="46B3B69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2.3对于投标文件中不构成实质性偏差的不一致或不规则，评标委员会可以接受，但这种接受不能损害或影响任何投标人的评分排序。</w:t>
      </w:r>
    </w:p>
    <w:p w14:paraId="72F33B6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 xml:space="preserve">2.4存在以下情况之一的，经评标委员会审核确认，作为符合性审查未通过应予以废除，不再进行后续的评审: </w:t>
      </w:r>
    </w:p>
    <w:p w14:paraId="0E2A29B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.1</w:t>
      </w:r>
      <w:r>
        <w:rPr>
          <w:rFonts w:hint="eastAsia" w:ascii="宋体" w:hAnsi="宋体" w:eastAsia="宋体" w:cs="宋体"/>
          <w:szCs w:val="21"/>
        </w:rPr>
        <w:t xml:space="preserve">投标人的资格不满足国家有关规定或招标文件载明的投标人资格要求的； </w:t>
      </w:r>
    </w:p>
    <w:p w14:paraId="47560A6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.2</w:t>
      </w:r>
      <w:r>
        <w:rPr>
          <w:rFonts w:hint="eastAsia" w:ascii="宋体" w:hAnsi="宋体" w:eastAsia="宋体" w:cs="宋体"/>
          <w:szCs w:val="21"/>
        </w:rPr>
        <w:t xml:space="preserve">未按招标文件的要求签署和盖章的； </w:t>
      </w:r>
    </w:p>
    <w:p w14:paraId="1B8833A6">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.3</w:t>
      </w:r>
      <w:r>
        <w:rPr>
          <w:rFonts w:hint="eastAsia" w:ascii="宋体" w:hAnsi="宋体" w:eastAsia="宋体" w:cs="宋体"/>
          <w:szCs w:val="21"/>
        </w:rPr>
        <w:t xml:space="preserve">投标人未按招标文件要求提供投标保证金或提供的投标保证金有缺陷而不能接受的（如有）； </w:t>
      </w:r>
    </w:p>
    <w:p w14:paraId="55889AD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.4</w:t>
      </w:r>
      <w:r>
        <w:rPr>
          <w:rFonts w:hint="eastAsia" w:ascii="宋体" w:hAnsi="宋体" w:eastAsia="宋体" w:cs="宋体"/>
          <w:szCs w:val="21"/>
        </w:rPr>
        <w:t xml:space="preserve">投标报价高于最高限价的； </w:t>
      </w:r>
    </w:p>
    <w:p w14:paraId="2F318A31">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.5</w:t>
      </w:r>
      <w:r>
        <w:rPr>
          <w:rFonts w:hint="eastAsia" w:ascii="宋体" w:hAnsi="宋体" w:eastAsia="宋体" w:cs="宋体"/>
          <w:szCs w:val="21"/>
        </w:rPr>
        <w:t xml:space="preserve">不响应招标文件实质性要求（如有，则在条款前用“▲”标示）或附有招标人不能接受的条件的； </w:t>
      </w:r>
    </w:p>
    <w:p w14:paraId="091322B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.6</w:t>
      </w:r>
      <w:r>
        <w:rPr>
          <w:rFonts w:hint="eastAsia" w:ascii="宋体" w:hAnsi="宋体" w:eastAsia="宋体" w:cs="宋体"/>
          <w:szCs w:val="21"/>
        </w:rPr>
        <w:t xml:space="preserve">投标有效期不足的； </w:t>
      </w:r>
    </w:p>
    <w:p w14:paraId="330559B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2.4</w:t>
      </w:r>
      <w:r>
        <w:rPr>
          <w:rFonts w:hint="eastAsia" w:ascii="宋体" w:hAnsi="宋体" w:cs="宋体"/>
          <w:szCs w:val="21"/>
          <w:lang w:val="en-US" w:eastAsia="zh-CN"/>
        </w:rPr>
        <w:t>.7</w:t>
      </w:r>
      <w:r>
        <w:rPr>
          <w:rFonts w:hint="eastAsia" w:ascii="宋体" w:hAnsi="宋体" w:eastAsia="宋体" w:cs="宋体"/>
          <w:szCs w:val="21"/>
        </w:rPr>
        <w:t xml:space="preserve">存在法律、法规、规章规定的其它无效投标情况的。 </w:t>
      </w:r>
    </w:p>
    <w:p w14:paraId="0746F94B">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 xml:space="preserve">3.3 </w:t>
      </w:r>
      <w:r>
        <w:rPr>
          <w:rFonts w:hint="eastAsia" w:ascii="宋体" w:hAnsi="宋体" w:eastAsia="宋体" w:cs="宋体"/>
          <w:szCs w:val="21"/>
        </w:rPr>
        <w:t>经评标委员会评审后的有效标少于三家时，如评标委员会认为其投标价格合理，技术可行，具有竞争力，则可以继续评标，并按综合评分由高到低进行排序，依次推荐中标候选人。否则评标委员会可否决所有投标，招标人将依法重新招标。</w:t>
      </w:r>
    </w:p>
    <w:p w14:paraId="66452F8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val="en-US" w:eastAsia="zh-CN"/>
        </w:rPr>
        <w:t xml:space="preserve">.4 </w:t>
      </w:r>
      <w:r>
        <w:rPr>
          <w:rFonts w:hint="eastAsia" w:ascii="宋体" w:hAnsi="宋体" w:eastAsia="宋体" w:cs="宋体"/>
          <w:szCs w:val="21"/>
        </w:rPr>
        <w:t>投标文件的澄清</w:t>
      </w:r>
    </w:p>
    <w:p w14:paraId="36F1856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在评审期间，评标委员会认为必要时，可要求投标人对其投标文件进行澄清，但不得寻求、提供或允许对实质性内容做任何更改。</w:t>
      </w:r>
    </w:p>
    <w:p w14:paraId="724D38D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投标人对评标委员会所提问题的澄清应做书面回答，但不得改变实质性内容。该书面回答须有法人代表人或委托代理人的签字，将作为投标内容的一部分。</w:t>
      </w:r>
    </w:p>
    <w:p w14:paraId="4703E9C2">
      <w:pPr>
        <w:spacing w:after="0" w:line="360" w:lineRule="auto"/>
        <w:ind w:firstLine="422" w:firstLineChars="200"/>
        <w:rPr>
          <w:rFonts w:hint="eastAsia" w:ascii="宋体" w:hAnsi="宋体" w:eastAsia="宋体" w:cs="宋体"/>
          <w:b/>
          <w:bCs/>
          <w:szCs w:val="21"/>
        </w:rPr>
      </w:pPr>
      <w:r>
        <w:rPr>
          <w:rFonts w:hint="eastAsia" w:ascii="宋体" w:hAnsi="宋体" w:cs="宋体"/>
          <w:b/>
          <w:bCs/>
          <w:szCs w:val="21"/>
          <w:lang w:val="en-US" w:eastAsia="zh-CN"/>
        </w:rPr>
        <w:t>四、</w:t>
      </w:r>
      <w:r>
        <w:rPr>
          <w:rFonts w:hint="eastAsia" w:ascii="宋体" w:hAnsi="宋体" w:eastAsia="宋体" w:cs="宋体"/>
          <w:b/>
          <w:bCs/>
          <w:szCs w:val="21"/>
        </w:rPr>
        <w:t>评标细则</w:t>
      </w:r>
    </w:p>
    <w:p w14:paraId="2D6ED45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评标委员会对通过初步评审的有效标的投标文件按如下“评分细则”进行详细评审：</w:t>
      </w:r>
    </w:p>
    <w:p w14:paraId="1CEE2B8E">
      <w:pPr>
        <w:spacing w:after="0" w:line="360" w:lineRule="auto"/>
        <w:ind w:firstLine="422" w:firstLineChars="200"/>
        <w:rPr>
          <w:rFonts w:hint="eastAsia" w:ascii="宋体" w:hAnsi="宋体" w:eastAsia="宋体" w:cs="宋体"/>
          <w:b/>
          <w:bCs/>
          <w:szCs w:val="21"/>
        </w:rPr>
      </w:pPr>
      <w:r>
        <w:rPr>
          <w:rFonts w:hint="eastAsia" w:ascii="宋体" w:hAnsi="宋体" w:cs="宋体"/>
          <w:b/>
          <w:bCs/>
          <w:szCs w:val="21"/>
          <w:lang w:val="en-US" w:eastAsia="zh-CN"/>
        </w:rPr>
        <w:t>4.1</w:t>
      </w:r>
      <w:r>
        <w:rPr>
          <w:rFonts w:hint="eastAsia" w:ascii="宋体" w:hAnsi="宋体" w:eastAsia="宋体" w:cs="宋体"/>
          <w:b/>
          <w:bCs/>
          <w:szCs w:val="21"/>
        </w:rPr>
        <w:t>各投标人的综合得分＝资信得分+技术得分+商务得分，综合得分总分为 100分。</w:t>
      </w:r>
    </w:p>
    <w:tbl>
      <w:tblPr>
        <w:tblStyle w:val="44"/>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58"/>
        <w:gridCol w:w="1172"/>
        <w:gridCol w:w="5961"/>
        <w:gridCol w:w="869"/>
      </w:tblGrid>
      <w:tr w14:paraId="0D5C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tcBorders>
              <w:top w:val="single" w:color="auto" w:sz="4" w:space="0"/>
              <w:left w:val="single" w:color="auto" w:sz="4" w:space="0"/>
              <w:bottom w:val="single" w:color="auto" w:sz="4" w:space="0"/>
              <w:right w:val="single" w:color="auto" w:sz="4" w:space="0"/>
            </w:tcBorders>
            <w:vAlign w:val="center"/>
          </w:tcPr>
          <w:p w14:paraId="7C3E9204">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序号</w:t>
            </w:r>
          </w:p>
        </w:tc>
        <w:tc>
          <w:tcPr>
            <w:tcW w:w="558" w:type="pct"/>
            <w:tcBorders>
              <w:top w:val="single" w:color="auto" w:sz="4" w:space="0"/>
              <w:left w:val="single" w:color="auto" w:sz="4" w:space="0"/>
              <w:bottom w:val="single" w:color="auto" w:sz="4" w:space="0"/>
              <w:right w:val="single" w:color="auto" w:sz="4" w:space="0"/>
            </w:tcBorders>
            <w:vAlign w:val="center"/>
          </w:tcPr>
          <w:p w14:paraId="60915B7F">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评分因素</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23E6D24D">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评分细则</w:t>
            </w:r>
          </w:p>
        </w:tc>
        <w:tc>
          <w:tcPr>
            <w:tcW w:w="455" w:type="pct"/>
            <w:tcBorders>
              <w:top w:val="single" w:color="auto" w:sz="4" w:space="0"/>
              <w:left w:val="single" w:color="auto" w:sz="4" w:space="0"/>
              <w:bottom w:val="single" w:color="auto" w:sz="4" w:space="0"/>
              <w:right w:val="single" w:color="auto" w:sz="4" w:space="0"/>
            </w:tcBorders>
            <w:vAlign w:val="center"/>
          </w:tcPr>
          <w:p w14:paraId="3A1F62BD">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分值（分）</w:t>
            </w:r>
          </w:p>
        </w:tc>
      </w:tr>
      <w:tr w14:paraId="70C7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A4FC349">
            <w:pPr>
              <w:numPr>
                <w:ilvl w:val="0"/>
                <w:numId w:val="0"/>
              </w:numPr>
              <w:autoSpaceDE w:val="0"/>
              <w:autoSpaceDN w:val="0"/>
              <w:adjustRightInd w:val="0"/>
              <w:snapToGrid w:val="0"/>
              <w:spacing w:after="0" w:line="320" w:lineRule="exact"/>
              <w:jc w:val="center"/>
              <w:rPr>
                <w:rFonts w:hint="eastAsia" w:hAnsi="宋体" w:cs="宋体"/>
                <w:szCs w:val="21"/>
              </w:rPr>
            </w:pPr>
            <w:r>
              <w:rPr>
                <w:rFonts w:hint="eastAsia" w:ascii="宋体" w:hAnsi="宋体" w:eastAsia="宋体" w:cs="宋体"/>
                <w:color w:val="auto"/>
                <w:szCs w:val="21"/>
                <w:highlight w:val="none"/>
                <w:lang w:val="en-US" w:eastAsia="zh-CN"/>
              </w:rPr>
              <w:t>一 、商务资信（1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r>
      <w:tr w14:paraId="6B84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7" w:hRule="atLeast"/>
          <w:jc w:val="center"/>
        </w:trPr>
        <w:tc>
          <w:tcPr>
            <w:tcW w:w="224" w:type="pct"/>
            <w:vAlign w:val="center"/>
          </w:tcPr>
          <w:p w14:paraId="1C1FDFA6">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58" w:type="pct"/>
            <w:tcBorders>
              <w:right w:val="single" w:color="auto" w:sz="4" w:space="0"/>
            </w:tcBorders>
            <w:vAlign w:val="center"/>
          </w:tcPr>
          <w:p w14:paraId="6057C6D3">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综合实力</w:t>
            </w:r>
          </w:p>
        </w:tc>
        <w:tc>
          <w:tcPr>
            <w:tcW w:w="3760" w:type="pct"/>
            <w:gridSpan w:val="2"/>
            <w:tcBorders>
              <w:left w:val="single" w:color="auto" w:sz="4" w:space="0"/>
            </w:tcBorders>
            <w:vAlign w:val="center"/>
          </w:tcPr>
          <w:p w14:paraId="60D65EF4">
            <w:pPr>
              <w:numPr>
                <w:ilvl w:val="0"/>
                <w:numId w:val="3"/>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lang w:val="en-US" w:eastAsia="zh-CN"/>
              </w:rPr>
              <w:t>主要财务软件产品有软件著作权的得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分，非投标人或其控股股东自有软件著作权的不得分；</w:t>
            </w:r>
          </w:p>
          <w:p w14:paraId="3B4724EF">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（证明材料：提供证书复印件。）</w:t>
            </w:r>
          </w:p>
          <w:p w14:paraId="08949CB0">
            <w:pPr>
              <w:numPr>
                <w:ilvl w:val="0"/>
                <w:numId w:val="3"/>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投标人具有国家高新企业证书的得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00B7CDF8">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（证明材料：提供证书复印件。）</w:t>
            </w:r>
          </w:p>
          <w:p w14:paraId="283517AF">
            <w:pPr>
              <w:numPr>
                <w:ilvl w:val="0"/>
                <w:numId w:val="0"/>
              </w:numPr>
              <w:autoSpaceDE w:val="0"/>
              <w:autoSpaceDN w:val="0"/>
              <w:adjustRightInd w:val="0"/>
              <w:snapToGrid w:val="0"/>
              <w:spacing w:after="0"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投标人具有</w:t>
            </w:r>
            <w:r>
              <w:rPr>
                <w:rFonts w:hint="eastAsia" w:ascii="宋体" w:hAnsi="宋体" w:eastAsia="宋体" w:cs="宋体"/>
                <w:color w:val="auto"/>
                <w:szCs w:val="21"/>
                <w:highlight w:val="none"/>
                <w:lang w:val="en-US" w:eastAsia="zh-CN"/>
              </w:rPr>
              <w:t>信息系统安全等级保护</w:t>
            </w:r>
            <w:r>
              <w:rPr>
                <w:rFonts w:hint="eastAsia" w:ascii="宋体" w:hAnsi="宋体" w:cs="宋体"/>
                <w:color w:val="auto"/>
                <w:szCs w:val="21"/>
                <w:highlight w:val="none"/>
                <w:lang w:val="en-US" w:eastAsia="zh-CN"/>
              </w:rPr>
              <w:t>三级的得2分，二级的得1分。</w:t>
            </w:r>
          </w:p>
          <w:p w14:paraId="73C19BAA">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（证明材料：提供</w:t>
            </w:r>
            <w:r>
              <w:rPr>
                <w:rFonts w:hint="eastAsia" w:ascii="宋体" w:hAnsi="宋体" w:cs="宋体"/>
                <w:b/>
                <w:bCs/>
                <w:color w:val="auto"/>
                <w:szCs w:val="21"/>
                <w:highlight w:val="none"/>
                <w:lang w:val="en-US" w:eastAsia="zh-CN"/>
              </w:rPr>
              <w:t>公安机关出具的备案证明</w:t>
            </w:r>
            <w:r>
              <w:rPr>
                <w:rFonts w:hint="eastAsia" w:ascii="宋体" w:hAnsi="宋体" w:eastAsia="宋体" w:cs="宋体"/>
                <w:b/>
                <w:bCs/>
                <w:color w:val="auto"/>
                <w:szCs w:val="21"/>
                <w:highlight w:val="none"/>
                <w:lang w:val="en-US" w:eastAsia="zh-CN"/>
              </w:rPr>
              <w:t>复印件。）</w:t>
            </w:r>
          </w:p>
          <w:p w14:paraId="2FCAC2EB">
            <w:pPr>
              <w:numPr>
                <w:ilvl w:val="0"/>
                <w:numId w:val="3"/>
              </w:numPr>
              <w:autoSpaceDE w:val="0"/>
              <w:autoSpaceDN w:val="0"/>
              <w:adjustRightInd w:val="0"/>
              <w:snapToGrid w:val="0"/>
              <w:spacing w:after="0" w:line="3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lang w:val="en-US" w:eastAsia="zh-CN"/>
              </w:rPr>
              <w:t>ISO9001质量管理体系认证证书、ISO27001信息安全管理体系认证证书、ISO20000信息技术服务管理体系认证证书，每个得3分，最高得3分；</w:t>
            </w:r>
          </w:p>
          <w:p w14:paraId="5434A34C">
            <w:pPr>
              <w:numPr>
                <w:ilvl w:val="0"/>
                <w:numId w:val="0"/>
              </w:numPr>
              <w:autoSpaceDE w:val="0"/>
              <w:autoSpaceDN w:val="0"/>
              <w:adjustRightInd w:val="0"/>
              <w:snapToGrid w:val="0"/>
              <w:spacing w:after="0" w:line="320" w:lineRule="exact"/>
              <w:ind w:leftChars="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(证明材料：以上证书须由通过中国国家认证认可监督管理委员会备案通过的认证机构颁发且在全国认证认可信息公共服务平台的网页可查询。</w:t>
            </w:r>
          </w:p>
          <w:p w14:paraId="23276220">
            <w:pPr>
              <w:numPr>
                <w:ilvl w:val="0"/>
                <w:numId w:val="0"/>
              </w:numPr>
              <w:autoSpaceDE w:val="0"/>
              <w:autoSpaceDN w:val="0"/>
              <w:adjustRightInd w:val="0"/>
              <w:snapToGrid w:val="0"/>
              <w:spacing w:after="0" w:line="320" w:lineRule="exact"/>
              <w:ind w:leftChars="0"/>
              <w:rPr>
                <w:rFonts w:hint="eastAsia" w:hAnsi="宋体" w:cs="宋体"/>
                <w:szCs w:val="21"/>
              </w:rPr>
            </w:pPr>
            <w:r>
              <w:rPr>
                <w:rFonts w:hint="eastAsia" w:ascii="宋体" w:hAnsi="宋体" w:cs="宋体"/>
                <w:b/>
                <w:bCs/>
                <w:color w:val="auto"/>
                <w:szCs w:val="21"/>
                <w:highlight w:val="none"/>
                <w:lang w:val="en-US" w:eastAsia="zh-CN"/>
              </w:rPr>
              <w:t>须</w:t>
            </w:r>
            <w:r>
              <w:rPr>
                <w:rFonts w:hint="eastAsia" w:ascii="宋体" w:hAnsi="宋体" w:eastAsia="宋体" w:cs="宋体"/>
                <w:b/>
                <w:bCs/>
                <w:color w:val="auto"/>
                <w:szCs w:val="21"/>
                <w:highlight w:val="none"/>
                <w:lang w:val="en-US" w:eastAsia="zh-CN"/>
              </w:rPr>
              <w:t>提供</w:t>
            </w:r>
            <w:r>
              <w:rPr>
                <w:rFonts w:hint="eastAsia" w:ascii="宋体" w:hAnsi="宋体" w:cs="宋体"/>
                <w:b/>
                <w:bCs/>
                <w:color w:val="auto"/>
                <w:szCs w:val="21"/>
                <w:highlight w:val="none"/>
                <w:lang w:val="en-US" w:eastAsia="zh-CN"/>
              </w:rPr>
              <w:t>证书</w:t>
            </w:r>
            <w:r>
              <w:rPr>
                <w:rFonts w:hint="eastAsia" w:ascii="宋体" w:hAnsi="宋体" w:eastAsia="宋体" w:cs="宋体"/>
                <w:b/>
                <w:bCs/>
                <w:color w:val="auto"/>
                <w:szCs w:val="21"/>
                <w:highlight w:val="none"/>
                <w:lang w:val="en-US" w:eastAsia="zh-CN"/>
              </w:rPr>
              <w:t>复印件</w:t>
            </w:r>
            <w:r>
              <w:rPr>
                <w:rFonts w:hint="eastAsia" w:ascii="宋体" w:hAnsi="宋体" w:cs="宋体"/>
                <w:b/>
                <w:bCs/>
                <w:color w:val="auto"/>
                <w:szCs w:val="21"/>
                <w:highlight w:val="none"/>
                <w:lang w:val="en-US" w:eastAsia="zh-CN"/>
              </w:rPr>
              <w:t>及网页截图</w:t>
            </w:r>
            <w:r>
              <w:rPr>
                <w:rFonts w:hint="eastAsia" w:ascii="宋体" w:hAnsi="宋体" w:eastAsia="宋体" w:cs="宋体"/>
                <w:b/>
                <w:bCs/>
                <w:color w:val="auto"/>
                <w:szCs w:val="21"/>
                <w:highlight w:val="none"/>
                <w:lang w:val="en-US" w:eastAsia="zh-CN"/>
              </w:rPr>
              <w:t>并加盖公章。）</w:t>
            </w:r>
          </w:p>
        </w:tc>
        <w:tc>
          <w:tcPr>
            <w:tcW w:w="455" w:type="pct"/>
            <w:vAlign w:val="center"/>
          </w:tcPr>
          <w:p w14:paraId="201BC31F">
            <w:pPr>
              <w:numPr>
                <w:ilvl w:val="0"/>
                <w:numId w:val="0"/>
              </w:numPr>
              <w:autoSpaceDE w:val="0"/>
              <w:autoSpaceDN w:val="0"/>
              <w:adjustRightInd w:val="0"/>
              <w:snapToGrid w:val="0"/>
              <w:spacing w:after="0"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r>
      <w:tr w14:paraId="5176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4" w:type="pct"/>
            <w:vAlign w:val="center"/>
          </w:tcPr>
          <w:p w14:paraId="7B9F252C">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558" w:type="pct"/>
            <w:tcBorders>
              <w:right w:val="single" w:color="auto" w:sz="4" w:space="0"/>
            </w:tcBorders>
            <w:vAlign w:val="center"/>
          </w:tcPr>
          <w:p w14:paraId="0403C317">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类似项目业绩</w:t>
            </w:r>
          </w:p>
        </w:tc>
        <w:tc>
          <w:tcPr>
            <w:tcW w:w="3760" w:type="pct"/>
            <w:gridSpan w:val="2"/>
            <w:tcBorders>
              <w:left w:val="single" w:color="auto" w:sz="4" w:space="0"/>
            </w:tcBorders>
            <w:vAlign w:val="center"/>
          </w:tcPr>
          <w:p w14:paraId="0CB152AA">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近三年（合同签订时间在2022年1月1日以后）有类似项目业绩的（业绩需包含，账户管理、资金计划、资金结算、票据（银行承兑）管理、资金池管理、融资管理、资金分析等其中4项及以上内容）每提供1个得1分，最高得5分；本项最高5分。</w:t>
            </w:r>
          </w:p>
          <w:p w14:paraId="27804D8F">
            <w:pPr>
              <w:numPr>
                <w:ilvl w:val="0"/>
                <w:numId w:val="0"/>
              </w:numPr>
              <w:autoSpaceDE w:val="0"/>
              <w:autoSpaceDN w:val="0"/>
              <w:adjustRightInd w:val="0"/>
              <w:snapToGrid w:val="0"/>
              <w:spacing w:after="0" w:line="320" w:lineRule="exact"/>
              <w:rPr>
                <w:rFonts w:hint="eastAsia" w:hAnsi="宋体" w:cs="宋体"/>
                <w:kern w:val="0"/>
                <w:szCs w:val="21"/>
                <w:lang w:eastAsia="zh-Hans" w:bidi="ar"/>
              </w:rPr>
            </w:pPr>
            <w:r>
              <w:rPr>
                <w:rFonts w:hint="eastAsia" w:ascii="宋体" w:hAnsi="宋体" w:cs="宋体"/>
                <w:b/>
                <w:bCs/>
                <w:color w:val="auto"/>
                <w:szCs w:val="21"/>
                <w:highlight w:val="none"/>
                <w:lang w:val="en-US" w:eastAsia="zh-CN"/>
              </w:rPr>
              <w:t>（证明材料</w:t>
            </w:r>
            <w:r>
              <w:rPr>
                <w:rFonts w:hint="eastAsia" w:ascii="宋体" w:hAnsi="宋体" w:eastAsia="宋体" w:cs="宋体"/>
                <w:b/>
                <w:bCs/>
                <w:color w:val="auto"/>
                <w:szCs w:val="21"/>
                <w:highlight w:val="none"/>
                <w:lang w:val="en-US" w:eastAsia="zh-CN"/>
              </w:rPr>
              <w:t>：须提供相关合同证明材料复印件，否则不得分，证明材料的有效性由评审委员会综合认定。</w:t>
            </w:r>
            <w:r>
              <w:rPr>
                <w:rFonts w:hint="eastAsia" w:ascii="宋体" w:hAnsi="宋体" w:cs="宋体"/>
                <w:b/>
                <w:bCs/>
                <w:color w:val="auto"/>
                <w:szCs w:val="21"/>
                <w:highlight w:val="none"/>
                <w:lang w:val="en-US" w:eastAsia="zh-CN"/>
              </w:rPr>
              <w:t>）</w:t>
            </w:r>
          </w:p>
        </w:tc>
        <w:tc>
          <w:tcPr>
            <w:tcW w:w="455" w:type="pct"/>
            <w:vAlign w:val="center"/>
          </w:tcPr>
          <w:p w14:paraId="000007AF">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2A68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000" w:type="pct"/>
            <w:gridSpan w:val="5"/>
            <w:vAlign w:val="center"/>
          </w:tcPr>
          <w:p w14:paraId="1F76A65F">
            <w:pPr>
              <w:numPr>
                <w:ilvl w:val="0"/>
                <w:numId w:val="0"/>
              </w:numPr>
              <w:autoSpaceDE w:val="0"/>
              <w:autoSpaceDN w:val="0"/>
              <w:adjustRightInd w:val="0"/>
              <w:snapToGrid w:val="0"/>
              <w:spacing w:after="0" w:line="320" w:lineRule="exact"/>
              <w:jc w:val="center"/>
              <w:rPr>
                <w:rFonts w:hint="eastAsia" w:hAnsi="宋体" w:cs="宋体"/>
                <w:szCs w:val="21"/>
              </w:rPr>
            </w:pPr>
            <w:r>
              <w:rPr>
                <w:rFonts w:hint="eastAsia" w:ascii="宋体" w:hAnsi="宋体" w:eastAsia="宋体" w:cs="宋体"/>
                <w:color w:val="auto"/>
                <w:szCs w:val="21"/>
                <w:highlight w:val="none"/>
                <w:lang w:val="en-US" w:eastAsia="zh-CN"/>
              </w:rPr>
              <w:t>二、 技术服务水平（7</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r>
      <w:tr w14:paraId="5A3F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4" w:type="pct"/>
            <w:vAlign w:val="center"/>
          </w:tcPr>
          <w:p w14:paraId="455F8796">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58" w:type="pct"/>
            <w:tcBorders>
              <w:right w:val="single" w:color="auto" w:sz="4" w:space="0"/>
            </w:tcBorders>
            <w:vAlign w:val="center"/>
          </w:tcPr>
          <w:p w14:paraId="6AF5C8D0">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项目需求分析</w:t>
            </w:r>
          </w:p>
        </w:tc>
        <w:tc>
          <w:tcPr>
            <w:tcW w:w="3760" w:type="pct"/>
            <w:gridSpan w:val="2"/>
            <w:tcBorders>
              <w:left w:val="single" w:color="auto" w:sz="4" w:space="0"/>
            </w:tcBorders>
            <w:vAlign w:val="center"/>
          </w:tcPr>
          <w:p w14:paraId="209302BD">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招标人对本次项目需求、建设目标、建设方案及后续整体规划等，并根据招标文件要求，结合自身的知识积累和优势进一步对本项目的需求进行分析。需求分析明确，有针对性得10-7分，较为明确得7-3分，需求分析不够明确、无针对性得3-0分。</w:t>
            </w:r>
          </w:p>
        </w:tc>
        <w:tc>
          <w:tcPr>
            <w:tcW w:w="455" w:type="pct"/>
            <w:vAlign w:val="center"/>
          </w:tcPr>
          <w:p w14:paraId="14EDD5CC">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r w14:paraId="1F81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6" w:hRule="atLeast"/>
          <w:jc w:val="center"/>
        </w:trPr>
        <w:tc>
          <w:tcPr>
            <w:tcW w:w="224" w:type="pct"/>
            <w:vMerge w:val="restart"/>
            <w:vAlign w:val="center"/>
          </w:tcPr>
          <w:p w14:paraId="2C11BD4B">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p>
        </w:tc>
        <w:tc>
          <w:tcPr>
            <w:tcW w:w="558" w:type="pct"/>
            <w:vMerge w:val="restart"/>
            <w:tcBorders>
              <w:right w:val="single" w:color="auto" w:sz="4" w:space="0"/>
            </w:tcBorders>
            <w:vAlign w:val="center"/>
          </w:tcPr>
          <w:p w14:paraId="1A473214">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p>
        </w:tc>
        <w:tc>
          <w:tcPr>
            <w:tcW w:w="618" w:type="pct"/>
            <w:vMerge w:val="restart"/>
            <w:tcBorders>
              <w:top w:val="single" w:color="auto" w:sz="4" w:space="0"/>
              <w:left w:val="single" w:color="auto" w:sz="4" w:space="0"/>
              <w:right w:val="single" w:color="auto" w:sz="4" w:space="0"/>
            </w:tcBorders>
            <w:vAlign w:val="center"/>
          </w:tcPr>
          <w:p w14:paraId="70CEFDD9">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技术需求符合度（1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6F31E9EC">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p>
        </w:tc>
        <w:tc>
          <w:tcPr>
            <w:tcW w:w="3141" w:type="pct"/>
            <w:tcBorders>
              <w:top w:val="single" w:color="auto" w:sz="4" w:space="0"/>
              <w:left w:val="single" w:color="auto" w:sz="4" w:space="0"/>
              <w:bottom w:val="single" w:color="auto" w:sz="4" w:space="0"/>
            </w:tcBorders>
            <w:shd w:val="clear" w:color="auto" w:fill="auto"/>
            <w:vAlign w:val="center"/>
          </w:tcPr>
          <w:p w14:paraId="34CC8EDE">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系统架构和系统功能满足招标需求，且具备良好的可扩展性（0-10分）：</w:t>
            </w:r>
          </w:p>
          <w:p w14:paraId="0E031C51">
            <w:pPr>
              <w:numPr>
                <w:ilvl w:val="0"/>
                <w:numId w:val="0"/>
              </w:numPr>
              <w:autoSpaceDE w:val="0"/>
              <w:autoSpaceDN w:val="0"/>
              <w:adjustRightInd w:val="0"/>
              <w:snapToGrid w:val="0"/>
              <w:spacing w:after="0"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①系统须满足</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lang w:val="en-US" w:eastAsia="zh-CN"/>
              </w:rPr>
              <w:t>需求且具备云原生架构、低代码开发平台，集成平台、流程平台、分析平台等满足个性化开发需求，具备良好扩展性满足未来财务数字化整体建设需求，得6-10分；</w:t>
            </w:r>
            <w:r>
              <w:rPr>
                <w:rFonts w:hint="eastAsia" w:ascii="宋体" w:hAnsi="宋体" w:cs="宋体"/>
                <w:color w:val="auto"/>
                <w:szCs w:val="21"/>
                <w:highlight w:val="none"/>
                <w:lang w:val="en-US" w:eastAsia="zh-CN"/>
              </w:rPr>
              <w:t xml:space="preserve"> </w:t>
            </w:r>
          </w:p>
          <w:p w14:paraId="77E56041">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②系统基本满足需求，得3-5分</w:t>
            </w:r>
            <w:r>
              <w:rPr>
                <w:rFonts w:hint="eastAsia" w:ascii="宋体" w:hAnsi="宋体" w:cs="宋体"/>
                <w:color w:val="auto"/>
                <w:szCs w:val="21"/>
                <w:highlight w:val="none"/>
                <w:lang w:val="en-US" w:eastAsia="zh-CN"/>
              </w:rPr>
              <w:t>。</w:t>
            </w:r>
          </w:p>
          <w:p w14:paraId="2B79B6AD">
            <w:pPr>
              <w:numPr>
                <w:ilvl w:val="0"/>
                <w:numId w:val="0"/>
              </w:numPr>
              <w:autoSpaceDE w:val="0"/>
              <w:autoSpaceDN w:val="0"/>
              <w:adjustRightInd w:val="0"/>
              <w:snapToGrid w:val="0"/>
              <w:spacing w:after="0"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注：以上评分条款</w:t>
            </w:r>
            <w:r>
              <w:rPr>
                <w:rFonts w:hint="eastAsia" w:ascii="宋体" w:hAnsi="宋体" w:eastAsia="宋体" w:cs="宋体"/>
                <w:b/>
                <w:bCs/>
                <w:color w:val="auto"/>
                <w:szCs w:val="21"/>
                <w:highlight w:val="none"/>
                <w:lang w:val="en-US" w:eastAsia="zh-CN"/>
              </w:rPr>
              <w:t>需提供</w:t>
            </w:r>
            <w:r>
              <w:rPr>
                <w:rFonts w:hint="eastAsia" w:ascii="宋体" w:hAnsi="宋体" w:cs="宋体"/>
                <w:b/>
                <w:bCs/>
                <w:color w:val="auto"/>
                <w:szCs w:val="21"/>
                <w:highlight w:val="none"/>
                <w:lang w:val="en-US" w:eastAsia="zh-CN"/>
              </w:rPr>
              <w:t>系统</w:t>
            </w:r>
            <w:r>
              <w:rPr>
                <w:rFonts w:hint="eastAsia" w:ascii="宋体" w:hAnsi="宋体" w:eastAsia="宋体" w:cs="宋体"/>
                <w:b/>
                <w:bCs/>
                <w:color w:val="auto"/>
                <w:szCs w:val="21"/>
                <w:highlight w:val="none"/>
                <w:lang w:val="en-US" w:eastAsia="zh-CN"/>
              </w:rPr>
              <w:t>架构</w:t>
            </w:r>
            <w:r>
              <w:rPr>
                <w:rFonts w:hint="eastAsia" w:ascii="宋体" w:hAnsi="宋体" w:cs="宋体"/>
                <w:b/>
                <w:bCs/>
                <w:color w:val="auto"/>
                <w:szCs w:val="21"/>
                <w:highlight w:val="none"/>
                <w:lang w:val="en-US" w:eastAsia="zh-CN"/>
              </w:rPr>
              <w:t>和功能</w:t>
            </w:r>
            <w:r>
              <w:rPr>
                <w:rFonts w:hint="eastAsia" w:ascii="宋体" w:hAnsi="宋体" w:eastAsia="宋体" w:cs="宋体"/>
                <w:b/>
                <w:bCs/>
                <w:color w:val="auto"/>
                <w:szCs w:val="21"/>
                <w:highlight w:val="none"/>
                <w:lang w:val="en-US" w:eastAsia="zh-CN"/>
              </w:rPr>
              <w:t>满足</w:t>
            </w:r>
            <w:r>
              <w:rPr>
                <w:rFonts w:hint="eastAsia" w:ascii="宋体" w:hAnsi="宋体" w:cs="宋体"/>
                <w:b/>
                <w:bCs/>
                <w:color w:val="auto"/>
                <w:szCs w:val="21"/>
                <w:highlight w:val="none"/>
                <w:lang w:val="en-US" w:eastAsia="zh-CN"/>
              </w:rPr>
              <w:t>招标需求且满足</w:t>
            </w:r>
            <w:r>
              <w:rPr>
                <w:rFonts w:hint="eastAsia" w:ascii="宋体" w:hAnsi="宋体" w:eastAsia="宋体" w:cs="宋体"/>
                <w:b/>
                <w:bCs/>
                <w:color w:val="auto"/>
                <w:szCs w:val="21"/>
                <w:highlight w:val="none"/>
                <w:lang w:val="en-US" w:eastAsia="zh-CN"/>
              </w:rPr>
              <w:t>云原生架构、低代码开发平台，集成平台、流程平台、分析平台等满足个性化开发的承诺函加盖公章（格式投标人自拟）</w:t>
            </w:r>
            <w:r>
              <w:rPr>
                <w:rFonts w:hint="eastAsia" w:ascii="宋体" w:hAnsi="宋体" w:cs="宋体"/>
                <w:b/>
                <w:bCs/>
                <w:color w:val="auto"/>
                <w:szCs w:val="21"/>
                <w:highlight w:val="none"/>
                <w:lang w:val="en-US" w:eastAsia="zh-CN"/>
              </w:rPr>
              <w:t>，未提供</w:t>
            </w:r>
            <w:r>
              <w:rPr>
                <w:rFonts w:hint="eastAsia" w:ascii="宋体" w:hAnsi="宋体" w:eastAsia="宋体" w:cs="宋体"/>
                <w:b/>
                <w:bCs/>
                <w:color w:val="auto"/>
                <w:szCs w:val="21"/>
                <w:highlight w:val="none"/>
                <w:lang w:val="en-US" w:eastAsia="zh-CN"/>
              </w:rPr>
              <w:t>则不得分。</w:t>
            </w:r>
          </w:p>
        </w:tc>
        <w:tc>
          <w:tcPr>
            <w:tcW w:w="455" w:type="pct"/>
            <w:tcBorders>
              <w:bottom w:val="single" w:color="auto" w:sz="4" w:space="0"/>
            </w:tcBorders>
            <w:vAlign w:val="center"/>
          </w:tcPr>
          <w:p w14:paraId="6DC2074C">
            <w:pPr>
              <w:numPr>
                <w:ilvl w:val="0"/>
                <w:numId w:val="0"/>
              </w:numPr>
              <w:autoSpaceDE w:val="0"/>
              <w:autoSpaceDN w:val="0"/>
              <w:adjustRightInd w:val="0"/>
              <w:snapToGrid w:val="0"/>
              <w:spacing w:after="0"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r w14:paraId="1753D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224" w:type="pct"/>
            <w:vMerge w:val="continue"/>
            <w:vAlign w:val="center"/>
          </w:tcPr>
          <w:p w14:paraId="0680BEF6">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p>
        </w:tc>
        <w:tc>
          <w:tcPr>
            <w:tcW w:w="558" w:type="pct"/>
            <w:vMerge w:val="continue"/>
            <w:tcBorders>
              <w:right w:val="single" w:color="auto" w:sz="4" w:space="0"/>
            </w:tcBorders>
            <w:vAlign w:val="center"/>
          </w:tcPr>
          <w:p w14:paraId="4AB328A5">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p>
        </w:tc>
        <w:tc>
          <w:tcPr>
            <w:tcW w:w="618" w:type="pct"/>
            <w:vMerge w:val="continue"/>
            <w:tcBorders>
              <w:left w:val="single" w:color="auto" w:sz="4" w:space="0"/>
              <w:right w:val="single" w:color="auto" w:sz="4" w:space="0"/>
            </w:tcBorders>
            <w:vAlign w:val="center"/>
          </w:tcPr>
          <w:p w14:paraId="4181515E">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p>
        </w:tc>
        <w:tc>
          <w:tcPr>
            <w:tcW w:w="3141" w:type="pct"/>
            <w:tcBorders>
              <w:top w:val="single" w:color="auto" w:sz="4" w:space="0"/>
              <w:left w:val="single" w:color="auto" w:sz="4" w:space="0"/>
              <w:bottom w:val="single" w:color="auto" w:sz="4" w:space="0"/>
            </w:tcBorders>
            <w:shd w:val="clear" w:color="auto" w:fill="auto"/>
            <w:vAlign w:val="center"/>
          </w:tcPr>
          <w:p w14:paraId="1461151D">
            <w:pPr>
              <w:numPr>
                <w:ilvl w:val="0"/>
                <w:numId w:val="0"/>
              </w:numPr>
              <w:autoSpaceDE w:val="0"/>
              <w:autoSpaceDN w:val="0"/>
              <w:adjustRightInd w:val="0"/>
              <w:snapToGrid w:val="0"/>
              <w:spacing w:after="0" w:line="320" w:lineRule="exact"/>
              <w:ind w:leftChars="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满足信创部署</w:t>
            </w:r>
            <w:r>
              <w:rPr>
                <w:rFonts w:hint="eastAsia" w:ascii="宋体" w:hAnsi="宋体" w:cs="宋体"/>
                <w:b/>
                <w:bCs/>
                <w:color w:val="auto"/>
                <w:szCs w:val="21"/>
                <w:highlight w:val="none"/>
                <w:lang w:val="en-US" w:eastAsia="zh-CN"/>
              </w:rPr>
              <w:t>要求（0-3分）:</w:t>
            </w:r>
          </w:p>
          <w:p w14:paraId="659DE6F7">
            <w:pPr>
              <w:numPr>
                <w:ilvl w:val="0"/>
                <w:numId w:val="0"/>
              </w:numPr>
              <w:autoSpaceDE w:val="0"/>
              <w:autoSpaceDN w:val="0"/>
              <w:adjustRightInd w:val="0"/>
              <w:snapToGrid w:val="0"/>
              <w:spacing w:after="0" w:line="320" w:lineRule="exact"/>
              <w:ind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软件系统</w:t>
            </w:r>
            <w:r>
              <w:rPr>
                <w:rFonts w:hint="eastAsia" w:ascii="宋体" w:hAnsi="宋体" w:cs="宋体"/>
                <w:color w:val="auto"/>
                <w:szCs w:val="21"/>
                <w:highlight w:val="none"/>
                <w:lang w:val="en-US" w:eastAsia="zh-CN"/>
              </w:rPr>
              <w:t>完全</w:t>
            </w:r>
            <w:r>
              <w:rPr>
                <w:rFonts w:hint="eastAsia" w:ascii="宋体" w:hAnsi="宋体" w:eastAsia="宋体" w:cs="宋体"/>
                <w:color w:val="auto"/>
                <w:szCs w:val="21"/>
                <w:highlight w:val="none"/>
                <w:lang w:val="en-US" w:eastAsia="zh-CN"/>
              </w:rPr>
              <w:t>满足信创部署</w:t>
            </w:r>
            <w:r>
              <w:rPr>
                <w:rFonts w:hint="eastAsia" w:ascii="宋体" w:hAnsi="宋体" w:cs="宋体"/>
                <w:color w:val="auto"/>
                <w:szCs w:val="21"/>
                <w:highlight w:val="none"/>
                <w:lang w:val="en-US" w:eastAsia="zh-CN"/>
              </w:rPr>
              <w:t>全部</w:t>
            </w:r>
            <w:r>
              <w:rPr>
                <w:rFonts w:hint="eastAsia" w:ascii="宋体" w:hAnsi="宋体" w:eastAsia="宋体" w:cs="宋体"/>
                <w:color w:val="auto"/>
                <w:szCs w:val="21"/>
                <w:highlight w:val="none"/>
                <w:lang w:val="en-US" w:eastAsia="zh-CN"/>
              </w:rPr>
              <w:t>要求（适配国产信创软硬件产品）的得3分，其中有一项不满足</w:t>
            </w:r>
            <w:r>
              <w:rPr>
                <w:rFonts w:hint="eastAsia" w:ascii="宋体" w:hAnsi="宋体" w:cs="宋体"/>
                <w:color w:val="auto"/>
                <w:szCs w:val="21"/>
                <w:highlight w:val="none"/>
                <w:lang w:val="en-US" w:eastAsia="zh-CN"/>
              </w:rPr>
              <w:t>招标需求</w:t>
            </w:r>
            <w:r>
              <w:rPr>
                <w:rFonts w:hint="eastAsia" w:ascii="宋体" w:hAnsi="宋体" w:eastAsia="宋体" w:cs="宋体"/>
                <w:color w:val="auto"/>
                <w:szCs w:val="21"/>
                <w:highlight w:val="none"/>
                <w:lang w:val="en-US" w:eastAsia="zh-CN"/>
              </w:rPr>
              <w:t>的，该项不得分；</w:t>
            </w:r>
          </w:p>
        </w:tc>
        <w:tc>
          <w:tcPr>
            <w:tcW w:w="455" w:type="pct"/>
            <w:tcBorders>
              <w:top w:val="single" w:color="auto" w:sz="4" w:space="0"/>
              <w:bottom w:val="single" w:color="auto" w:sz="4" w:space="0"/>
            </w:tcBorders>
            <w:vAlign w:val="center"/>
          </w:tcPr>
          <w:p w14:paraId="4B5A9B81">
            <w:pPr>
              <w:numPr>
                <w:ilvl w:val="0"/>
                <w:numId w:val="0"/>
              </w:numPr>
              <w:autoSpaceDE w:val="0"/>
              <w:autoSpaceDN w:val="0"/>
              <w:adjustRightInd w:val="0"/>
              <w:snapToGrid w:val="0"/>
              <w:spacing w:after="0"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26413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224" w:type="pct"/>
            <w:vMerge w:val="continue"/>
            <w:vAlign w:val="center"/>
          </w:tcPr>
          <w:p w14:paraId="07A35760">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p>
        </w:tc>
        <w:tc>
          <w:tcPr>
            <w:tcW w:w="558" w:type="pct"/>
            <w:vMerge w:val="continue"/>
            <w:tcBorders>
              <w:right w:val="single" w:color="auto" w:sz="4" w:space="0"/>
            </w:tcBorders>
            <w:vAlign w:val="center"/>
          </w:tcPr>
          <w:p w14:paraId="6A161FE7">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p>
        </w:tc>
        <w:tc>
          <w:tcPr>
            <w:tcW w:w="618" w:type="pct"/>
            <w:tcBorders>
              <w:top w:val="single" w:color="auto" w:sz="4" w:space="0"/>
              <w:left w:val="single" w:color="auto" w:sz="4" w:space="0"/>
              <w:right w:val="single" w:color="auto" w:sz="4" w:space="0"/>
            </w:tcBorders>
            <w:vAlign w:val="center"/>
          </w:tcPr>
          <w:p w14:paraId="426756F2">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二、业务需求符合度（15分）</w:t>
            </w:r>
          </w:p>
        </w:tc>
        <w:tc>
          <w:tcPr>
            <w:tcW w:w="3141" w:type="pct"/>
            <w:tcBorders>
              <w:top w:val="single" w:color="auto" w:sz="4" w:space="0"/>
              <w:left w:val="single" w:color="auto" w:sz="4" w:space="0"/>
            </w:tcBorders>
            <w:vAlign w:val="center"/>
          </w:tcPr>
          <w:p w14:paraId="0A400E57">
            <w:pPr>
              <w:numPr>
                <w:ilvl w:val="0"/>
                <w:numId w:val="0"/>
              </w:numPr>
              <w:autoSpaceDE w:val="0"/>
              <w:autoSpaceDN w:val="0"/>
              <w:adjustRightInd w:val="0"/>
              <w:snapToGrid w:val="0"/>
              <w:spacing w:after="0" w:line="32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根据项目需求，制定完整的培训方案，根据培训方案</w:t>
            </w:r>
            <w:r>
              <w:rPr>
                <w:rFonts w:hint="eastAsia" w:ascii="宋体" w:hAnsi="宋体" w:cs="宋体"/>
                <w:color w:val="auto"/>
                <w:szCs w:val="21"/>
                <w:highlight w:val="none"/>
                <w:lang w:val="en-US" w:eastAsia="zh-CN"/>
              </w:rPr>
              <w:t>横向对比打分</w:t>
            </w:r>
          </w:p>
        </w:tc>
        <w:tc>
          <w:tcPr>
            <w:tcW w:w="455" w:type="pct"/>
            <w:tcBorders>
              <w:top w:val="single" w:color="auto" w:sz="4" w:space="0"/>
            </w:tcBorders>
            <w:vAlign w:val="center"/>
          </w:tcPr>
          <w:p w14:paraId="084447E6">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r>
      <w:tr w14:paraId="132F1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4" w:type="pct"/>
            <w:vAlign w:val="center"/>
          </w:tcPr>
          <w:p w14:paraId="217CD197">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558" w:type="pct"/>
            <w:tcBorders>
              <w:right w:val="single" w:color="auto" w:sz="4" w:space="0"/>
            </w:tcBorders>
            <w:vAlign w:val="center"/>
          </w:tcPr>
          <w:p w14:paraId="6F3E72C4">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组织实施能力</w:t>
            </w:r>
          </w:p>
        </w:tc>
        <w:tc>
          <w:tcPr>
            <w:tcW w:w="3760" w:type="pct"/>
            <w:gridSpan w:val="2"/>
            <w:tcBorders>
              <w:left w:val="single" w:color="auto" w:sz="4" w:space="0"/>
            </w:tcBorders>
            <w:vAlign w:val="center"/>
          </w:tcPr>
          <w:p w14:paraId="1E326824">
            <w:pPr>
              <w:numPr>
                <w:ilvl w:val="0"/>
                <w:numId w:val="4"/>
              </w:numPr>
              <w:autoSpaceDE w:val="0"/>
              <w:autoSpaceDN w:val="0"/>
              <w:adjustRightInd w:val="0"/>
              <w:snapToGrid w:val="0"/>
              <w:spacing w:after="0" w:line="32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提供包括项目质量控制方法及措施（</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p w14:paraId="664B22F5">
            <w:pPr>
              <w:numPr>
                <w:ilvl w:val="0"/>
                <w:numId w:val="4"/>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项目进度控制方法及措施（</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p w14:paraId="6163DB6F">
            <w:pPr>
              <w:numPr>
                <w:ilvl w:val="0"/>
                <w:numId w:val="4"/>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项目实施人员安排及保障措施（</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455" w:type="pct"/>
            <w:vAlign w:val="center"/>
          </w:tcPr>
          <w:p w14:paraId="4FAE0659">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r>
      <w:tr w14:paraId="03B8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4" w:type="pct"/>
            <w:vAlign w:val="center"/>
          </w:tcPr>
          <w:p w14:paraId="789B7370">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558" w:type="pct"/>
            <w:tcBorders>
              <w:right w:val="single" w:color="auto" w:sz="4" w:space="0"/>
            </w:tcBorders>
            <w:vAlign w:val="center"/>
          </w:tcPr>
          <w:p w14:paraId="6AAAEB53">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w:t>
            </w:r>
          </w:p>
        </w:tc>
        <w:tc>
          <w:tcPr>
            <w:tcW w:w="3760" w:type="pct"/>
            <w:gridSpan w:val="2"/>
            <w:tcBorders>
              <w:left w:val="single" w:color="auto" w:sz="4" w:space="0"/>
            </w:tcBorders>
            <w:vAlign w:val="center"/>
          </w:tcPr>
          <w:p w14:paraId="2FFB1303">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根据项目需求，制定完整的培训方案，根据培训方案</w:t>
            </w:r>
            <w:r>
              <w:rPr>
                <w:rFonts w:hint="eastAsia" w:ascii="宋体" w:hAnsi="宋体" w:cs="宋体"/>
                <w:color w:val="auto"/>
                <w:szCs w:val="21"/>
                <w:highlight w:val="none"/>
                <w:lang w:val="en-US" w:eastAsia="zh-CN"/>
              </w:rPr>
              <w:t>横向对比打分</w:t>
            </w:r>
            <w:r>
              <w:rPr>
                <w:rFonts w:hint="eastAsia" w:ascii="宋体" w:hAnsi="宋体" w:eastAsia="宋体" w:cs="宋体"/>
                <w:color w:val="auto"/>
                <w:szCs w:val="21"/>
                <w:highlight w:val="none"/>
                <w:lang w:val="en-US" w:eastAsia="zh-CN"/>
              </w:rPr>
              <w:t>。</w:t>
            </w:r>
          </w:p>
        </w:tc>
        <w:tc>
          <w:tcPr>
            <w:tcW w:w="455" w:type="pct"/>
            <w:vAlign w:val="center"/>
          </w:tcPr>
          <w:p w14:paraId="7FC3F5B7">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60E8C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224" w:type="pct"/>
            <w:vAlign w:val="center"/>
          </w:tcPr>
          <w:p w14:paraId="250D9D5C">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58" w:type="pct"/>
            <w:tcBorders>
              <w:right w:val="single" w:color="auto" w:sz="4" w:space="0"/>
            </w:tcBorders>
            <w:vAlign w:val="center"/>
          </w:tcPr>
          <w:p w14:paraId="6D6BEB3F">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售后服务能力</w:t>
            </w:r>
          </w:p>
        </w:tc>
        <w:tc>
          <w:tcPr>
            <w:tcW w:w="3760" w:type="pct"/>
            <w:gridSpan w:val="2"/>
            <w:tcBorders>
              <w:left w:val="single" w:color="auto" w:sz="4" w:space="0"/>
            </w:tcBorders>
            <w:vAlign w:val="center"/>
          </w:tcPr>
          <w:p w14:paraId="2420937C">
            <w:pPr>
              <w:numPr>
                <w:ilvl w:val="0"/>
                <w:numId w:val="0"/>
              </w:numPr>
              <w:autoSpaceDE w:val="0"/>
              <w:autoSpaceDN w:val="0"/>
              <w:adjustRightInd w:val="0"/>
              <w:snapToGrid w:val="0"/>
              <w:spacing w:after="0"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投标人应</w:t>
            </w:r>
            <w:r>
              <w:rPr>
                <w:rFonts w:hint="eastAsia" w:ascii="宋体" w:hAnsi="宋体" w:cs="宋体"/>
                <w:color w:val="auto"/>
                <w:szCs w:val="21"/>
                <w:highlight w:val="none"/>
                <w:lang w:val="en-US" w:eastAsia="zh-CN"/>
              </w:rPr>
              <w:t>在招标需求的基础上进一步</w:t>
            </w: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更完善</w:t>
            </w:r>
            <w:r>
              <w:rPr>
                <w:rFonts w:hint="eastAsia" w:ascii="宋体" w:hAnsi="宋体" w:eastAsia="宋体" w:cs="宋体"/>
                <w:color w:val="auto"/>
                <w:szCs w:val="21"/>
                <w:highlight w:val="none"/>
                <w:lang w:val="en-US" w:eastAsia="zh-CN"/>
              </w:rPr>
              <w:t>的售后服务方案、售后服务承诺等，</w:t>
            </w:r>
            <w:r>
              <w:rPr>
                <w:rFonts w:hint="eastAsia" w:ascii="宋体" w:hAnsi="宋体" w:cs="宋体"/>
                <w:color w:val="auto"/>
                <w:szCs w:val="21"/>
                <w:highlight w:val="none"/>
                <w:lang w:val="en-US" w:eastAsia="zh-CN"/>
              </w:rPr>
              <w:t>横向对比得分</w:t>
            </w:r>
            <w:r>
              <w:rPr>
                <w:rFonts w:hint="eastAsia" w:ascii="宋体" w:hAnsi="宋体" w:eastAsia="宋体" w:cs="宋体"/>
                <w:color w:val="auto"/>
                <w:szCs w:val="21"/>
                <w:highlight w:val="none"/>
                <w:lang w:val="en-US" w:eastAsia="zh-CN"/>
              </w:rPr>
              <w:t>。</w:t>
            </w:r>
          </w:p>
        </w:tc>
        <w:tc>
          <w:tcPr>
            <w:tcW w:w="455" w:type="pct"/>
            <w:vAlign w:val="center"/>
          </w:tcPr>
          <w:p w14:paraId="04C2988C">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6110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224" w:type="pct"/>
            <w:vAlign w:val="center"/>
          </w:tcPr>
          <w:p w14:paraId="2582ED11">
            <w:pPr>
              <w:numPr>
                <w:ilvl w:val="0"/>
                <w:numId w:val="0"/>
              </w:numPr>
              <w:autoSpaceDE w:val="0"/>
              <w:autoSpaceDN w:val="0"/>
              <w:adjustRightInd w:val="0"/>
              <w:snapToGrid w:val="0"/>
              <w:spacing w:after="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558" w:type="pct"/>
            <w:tcBorders>
              <w:right w:val="single" w:color="auto" w:sz="4" w:space="0"/>
            </w:tcBorders>
            <w:vAlign w:val="center"/>
          </w:tcPr>
          <w:p w14:paraId="056DDA00">
            <w:pPr>
              <w:numPr>
                <w:ilvl w:val="0"/>
                <w:numId w:val="0"/>
              </w:numPr>
              <w:autoSpaceDE w:val="0"/>
              <w:autoSpaceDN w:val="0"/>
              <w:adjustRightInd w:val="0"/>
              <w:snapToGrid w:val="0"/>
              <w:spacing w:after="0"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系统核心功能演示</w:t>
            </w:r>
          </w:p>
        </w:tc>
        <w:tc>
          <w:tcPr>
            <w:tcW w:w="3760" w:type="pct"/>
            <w:gridSpan w:val="2"/>
            <w:tcBorders>
              <w:left w:val="single" w:color="auto" w:sz="4" w:space="0"/>
            </w:tcBorders>
            <w:vAlign w:val="center"/>
          </w:tcPr>
          <w:p w14:paraId="0EDB8A94">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根据投标人提供的本项目的功能</w:t>
            </w:r>
            <w:r>
              <w:rPr>
                <w:rFonts w:hint="eastAsia" w:ascii="宋体" w:hAnsi="宋体" w:cs="宋体"/>
                <w:b/>
                <w:bCs/>
                <w:color w:val="auto"/>
                <w:szCs w:val="21"/>
                <w:highlight w:val="none"/>
                <w:lang w:val="en-US" w:eastAsia="zh-CN"/>
              </w:rPr>
              <w:t>演示</w:t>
            </w:r>
            <w:r>
              <w:rPr>
                <w:rFonts w:hint="eastAsia" w:ascii="宋体" w:hAnsi="宋体" w:eastAsia="宋体" w:cs="宋体"/>
                <w:b/>
                <w:bCs/>
                <w:color w:val="auto"/>
                <w:szCs w:val="21"/>
                <w:highlight w:val="none"/>
                <w:lang w:val="en-US" w:eastAsia="zh-CN"/>
              </w:rPr>
              <w:t>，包括：</w:t>
            </w:r>
          </w:p>
          <w:p w14:paraId="7B2A61DB">
            <w:pPr>
              <w:numPr>
                <w:ilvl w:val="0"/>
                <w:numId w:val="5"/>
              </w:numPr>
              <w:autoSpaceDE w:val="0"/>
              <w:autoSpaceDN w:val="0"/>
              <w:adjustRightInd w:val="0"/>
              <w:snapToGrid w:val="0"/>
              <w:spacing w:after="0" w:line="32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低代码平台</w:t>
            </w:r>
            <w:r>
              <w:rPr>
                <w:rFonts w:hint="eastAsia" w:ascii="宋体" w:hAnsi="宋体" w:cs="宋体"/>
                <w:color w:val="auto"/>
                <w:szCs w:val="21"/>
                <w:highlight w:val="none"/>
                <w:lang w:val="en-US" w:eastAsia="zh-CN"/>
              </w:rPr>
              <w:t>演示；（0-2分）</w:t>
            </w:r>
          </w:p>
          <w:p w14:paraId="3CDE4E19">
            <w:pPr>
              <w:numPr>
                <w:ilvl w:val="0"/>
                <w:numId w:val="5"/>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账户管理</w:t>
            </w:r>
            <w:r>
              <w:rPr>
                <w:rFonts w:hint="eastAsia" w:ascii="宋体" w:hAnsi="宋体" w:cs="宋体"/>
                <w:color w:val="auto"/>
                <w:szCs w:val="21"/>
                <w:highlight w:val="none"/>
                <w:lang w:val="en-US" w:eastAsia="zh-CN"/>
              </w:rPr>
              <w:t>演示；（0-2分）</w:t>
            </w:r>
          </w:p>
          <w:p w14:paraId="3C65419D">
            <w:pPr>
              <w:numPr>
                <w:ilvl w:val="0"/>
                <w:numId w:val="5"/>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资金计划、资金结算</w:t>
            </w:r>
            <w:r>
              <w:rPr>
                <w:rFonts w:hint="eastAsia" w:ascii="宋体" w:hAnsi="宋体" w:cs="宋体"/>
                <w:color w:val="auto"/>
                <w:szCs w:val="21"/>
                <w:highlight w:val="none"/>
                <w:lang w:val="en-US" w:eastAsia="zh-CN"/>
              </w:rPr>
              <w:t>功能演示；（0-2分）；</w:t>
            </w:r>
          </w:p>
          <w:p w14:paraId="0B42D3D9">
            <w:pPr>
              <w:numPr>
                <w:ilvl w:val="0"/>
                <w:numId w:val="5"/>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票据（银行承兑）管理、资金池管理、融资管理</w:t>
            </w:r>
            <w:r>
              <w:rPr>
                <w:rFonts w:hint="eastAsia" w:ascii="宋体" w:hAnsi="宋体" w:cs="宋体"/>
                <w:color w:val="auto"/>
                <w:szCs w:val="21"/>
                <w:highlight w:val="none"/>
                <w:lang w:val="en-US" w:eastAsia="zh-CN"/>
              </w:rPr>
              <w:t>演示（0-2分）；</w:t>
            </w:r>
          </w:p>
          <w:p w14:paraId="072B6773">
            <w:pPr>
              <w:numPr>
                <w:ilvl w:val="0"/>
                <w:numId w:val="5"/>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资金分析</w:t>
            </w:r>
            <w:r>
              <w:rPr>
                <w:rFonts w:hint="eastAsia" w:ascii="宋体" w:hAnsi="宋体" w:cs="宋体"/>
                <w:color w:val="auto"/>
                <w:szCs w:val="21"/>
                <w:highlight w:val="none"/>
                <w:lang w:val="en-US" w:eastAsia="zh-CN"/>
              </w:rPr>
              <w:t>功能演示。（0-2分）</w:t>
            </w:r>
          </w:p>
          <w:p w14:paraId="4B304894">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（演示要求：1、演示时间不得超过15分钟，要求使用实际系统进行演示（可为demo演示或以往已有的类似案例的功能演示），如只提供通过PPT、图片、WORD 等方式演示的，视为不满足演示要求，不得分。</w:t>
            </w:r>
          </w:p>
          <w:p w14:paraId="74AA0D5F">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2、投标人应将演示内容提前录制成视频，以U盘的形式在投标截止时间前递交（可邮寄），U盘单独密封包装，密封袋上须标注或体现供应商单位名称及“系统演示”，递交地址为：“杭州市拱墅区文晖路42号现代置业大厦西楼1801”。未在规定时间内送达或视频无法打开的，此项不得分。）</w:t>
            </w:r>
          </w:p>
        </w:tc>
        <w:tc>
          <w:tcPr>
            <w:tcW w:w="455" w:type="pct"/>
            <w:vAlign w:val="center"/>
          </w:tcPr>
          <w:p w14:paraId="2A7A2F62">
            <w:pPr>
              <w:numPr>
                <w:ilvl w:val="0"/>
                <w:numId w:val="0"/>
              </w:numPr>
              <w:autoSpaceDE w:val="0"/>
              <w:autoSpaceDN w:val="0"/>
              <w:adjustRightInd w:val="0"/>
              <w:snapToGrid w:val="0"/>
              <w:spacing w:after="0"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62389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155EC77">
            <w:pPr>
              <w:numPr>
                <w:ilvl w:val="0"/>
                <w:numId w:val="0"/>
              </w:numPr>
              <w:autoSpaceDE w:val="0"/>
              <w:autoSpaceDN w:val="0"/>
              <w:adjustRightInd w:val="0"/>
              <w:snapToGrid w:val="0"/>
              <w:spacing w:after="0" w:line="320" w:lineRule="exact"/>
              <w:jc w:val="center"/>
              <w:rPr>
                <w:rFonts w:hint="eastAsia" w:hAnsi="宋体" w:cs="宋体"/>
                <w:szCs w:val="21"/>
              </w:rPr>
            </w:pPr>
            <w:r>
              <w:rPr>
                <w:rFonts w:hint="eastAsia" w:ascii="宋体" w:hAnsi="宋体" w:eastAsia="宋体" w:cs="宋体"/>
                <w:color w:val="auto"/>
                <w:szCs w:val="21"/>
                <w:highlight w:val="none"/>
                <w:lang w:val="en-US" w:eastAsia="zh-CN"/>
              </w:rPr>
              <w:t>三、 商务得分（15分）</w:t>
            </w:r>
          </w:p>
        </w:tc>
      </w:tr>
      <w:tr w14:paraId="2CC3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4" w:type="pct"/>
            <w:vAlign w:val="center"/>
          </w:tcPr>
          <w:p w14:paraId="73A3F7BE">
            <w:pPr>
              <w:numPr>
                <w:ilvl w:val="0"/>
                <w:numId w:val="0"/>
              </w:numPr>
              <w:autoSpaceDE w:val="0"/>
              <w:autoSpaceDN w:val="0"/>
              <w:adjustRightInd w:val="0"/>
              <w:snapToGrid w:val="0"/>
              <w:spacing w:after="0" w:line="320" w:lineRule="exact"/>
              <w:jc w:val="center"/>
              <w:rPr>
                <w:rFonts w:hint="eastAsia" w:ascii="宋体" w:hAnsi="宋体" w:cs="宋体"/>
                <w:szCs w:val="21"/>
              </w:rPr>
            </w:pPr>
            <w:r>
              <w:rPr>
                <w:rFonts w:hint="eastAsia" w:ascii="宋体" w:hAnsi="宋体" w:eastAsia="宋体" w:cs="宋体"/>
                <w:color w:val="auto"/>
                <w:szCs w:val="21"/>
                <w:highlight w:val="none"/>
                <w:lang w:val="en-US" w:eastAsia="zh-CN"/>
              </w:rPr>
              <w:t>1</w:t>
            </w:r>
          </w:p>
        </w:tc>
        <w:tc>
          <w:tcPr>
            <w:tcW w:w="558" w:type="pct"/>
            <w:tcBorders>
              <w:right w:val="single" w:color="auto" w:sz="4" w:space="0"/>
            </w:tcBorders>
            <w:vAlign w:val="center"/>
          </w:tcPr>
          <w:p w14:paraId="033AAB87">
            <w:pPr>
              <w:widowControl/>
              <w:spacing w:line="360" w:lineRule="auto"/>
              <w:jc w:val="center"/>
              <w:rPr>
                <w:rFonts w:hint="eastAsia" w:ascii="宋体" w:hAnsi="宋体" w:cs="宋体"/>
                <w:kern w:val="0"/>
                <w:szCs w:val="21"/>
                <w:lang w:bidi="ar"/>
              </w:rPr>
            </w:pPr>
            <w:r>
              <w:rPr>
                <w:rFonts w:hint="eastAsia" w:ascii="宋体" w:hAnsi="宋体" w:cs="宋体"/>
                <w:kern w:val="0"/>
                <w:szCs w:val="21"/>
                <w:lang w:bidi="ar"/>
              </w:rPr>
              <w:t>投标报价</w:t>
            </w:r>
          </w:p>
        </w:tc>
        <w:tc>
          <w:tcPr>
            <w:tcW w:w="3760" w:type="pct"/>
            <w:gridSpan w:val="2"/>
            <w:tcBorders>
              <w:left w:val="single" w:color="auto" w:sz="4" w:space="0"/>
            </w:tcBorders>
            <w:vAlign w:val="center"/>
          </w:tcPr>
          <w:p w14:paraId="6A121E78">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报价评分将在有效投标人范围内进行，最高得15分（小数点后保留二位小数，第三位四舍五入）。投标人的价格分统一按照下列方式计算：</w:t>
            </w:r>
          </w:p>
          <w:p w14:paraId="64B59DA7">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（1）评分范围：通过符合性审查的所有投标文件进入评分范围。 </w:t>
            </w:r>
          </w:p>
          <w:p w14:paraId="598D2FEA">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评标基准价：进入评分范围的投标评标价的算术平均值为评标基准价（其中，投标评标价在5个及以上10个以下时，去除一个最高价和一个最低价；投标评标价在10个及以上时，去除一个最高、次高价和一个最低、次低价）</w:t>
            </w:r>
          </w:p>
          <w:p w14:paraId="4AC45E66">
            <w:pPr>
              <w:numPr>
                <w:ilvl w:val="0"/>
                <w:numId w:val="0"/>
              </w:numP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（3）根据投标文件的投标评标价与评标基准价对比，计算投标人的 商务报价的得分值。即： </w:t>
            </w:r>
          </w:p>
          <w:p w14:paraId="25138048">
            <w:pPr>
              <w:numPr>
                <w:ilvl w:val="0"/>
                <w:numId w:val="0"/>
              </w:numPr>
              <w:autoSpaceDE w:val="0"/>
              <w:autoSpaceDN w:val="0"/>
              <w:adjustRightInd w:val="0"/>
              <w:snapToGrid w:val="0"/>
              <w:spacing w:after="0"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a.投标评标价等于评标基准价时，得15分；</w:t>
            </w:r>
          </w:p>
          <w:p w14:paraId="204BD60D">
            <w:pPr>
              <w:numPr>
                <w:ilvl w:val="0"/>
                <w:numId w:val="0"/>
              </w:numPr>
              <w:shd w:val="clear"/>
              <w:autoSpaceDE w:val="0"/>
              <w:autoSpaceDN w:val="0"/>
              <w:adjustRightInd w:val="0"/>
              <w:snapToGrid w:val="0"/>
              <w:spacing w:after="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b.投标评标价每低于评标基准价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个百分点</w:t>
            </w:r>
            <w:r>
              <w:rPr>
                <w:rFonts w:hint="eastAsia" w:ascii="宋体" w:hAnsi="宋体" w:eastAsia="宋体" w:cs="宋体"/>
                <w:color w:val="auto"/>
                <w:szCs w:val="21"/>
                <w:highlight w:val="none"/>
                <w:lang w:val="en-US" w:eastAsia="zh-CN"/>
              </w:rPr>
              <w:t>，扣0.3分；</w:t>
            </w:r>
          </w:p>
          <w:p w14:paraId="727963B5">
            <w:pPr>
              <w:numPr>
                <w:ilvl w:val="0"/>
                <w:numId w:val="0"/>
              </w:numPr>
              <w:shd w:val="clear"/>
              <w:autoSpaceDE w:val="0"/>
              <w:autoSpaceDN w:val="0"/>
              <w:adjustRightInd w:val="0"/>
              <w:snapToGrid w:val="0"/>
              <w:spacing w:after="0" w:line="320" w:lineRule="exact"/>
              <w:rPr>
                <w:rFonts w:hint="default"/>
                <w:lang w:val="en-US"/>
              </w:rPr>
            </w:pPr>
            <w:r>
              <w:rPr>
                <w:rFonts w:hint="eastAsia" w:ascii="宋体" w:hAnsi="宋体" w:eastAsia="宋体" w:cs="宋体"/>
                <w:color w:val="auto"/>
                <w:szCs w:val="21"/>
                <w:highlight w:val="none"/>
                <w:lang w:val="en-US" w:eastAsia="zh-CN"/>
              </w:rPr>
              <w:t>c.投标评标价每高于评标基准价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个百分点</w:t>
            </w:r>
            <w:r>
              <w:rPr>
                <w:rFonts w:hint="eastAsia" w:ascii="宋体" w:hAnsi="宋体" w:eastAsia="宋体" w:cs="宋体"/>
                <w:color w:val="auto"/>
                <w:szCs w:val="21"/>
                <w:highlight w:val="none"/>
                <w:lang w:val="en-US" w:eastAsia="zh-CN"/>
              </w:rPr>
              <w:t>，扣0.5分。</w:t>
            </w:r>
          </w:p>
        </w:tc>
        <w:tc>
          <w:tcPr>
            <w:tcW w:w="455" w:type="pct"/>
            <w:vAlign w:val="center"/>
          </w:tcPr>
          <w:p w14:paraId="0911515E">
            <w:pPr>
              <w:numPr>
                <w:ilvl w:val="0"/>
                <w:numId w:val="0"/>
              </w:numPr>
              <w:autoSpaceDE w:val="0"/>
              <w:autoSpaceDN w:val="0"/>
              <w:adjustRightInd w:val="0"/>
              <w:snapToGrid w:val="0"/>
              <w:spacing w:after="0" w:line="320" w:lineRule="exact"/>
              <w:jc w:val="center"/>
              <w:rPr>
                <w:rFonts w:hint="eastAsia" w:hAnsi="宋体" w:cs="宋体"/>
                <w:szCs w:val="21"/>
              </w:rPr>
            </w:pPr>
            <w:r>
              <w:rPr>
                <w:rFonts w:hint="eastAsia" w:ascii="宋体" w:hAnsi="宋体" w:eastAsia="宋体" w:cs="宋体"/>
                <w:color w:val="auto"/>
                <w:szCs w:val="21"/>
                <w:highlight w:val="none"/>
                <w:lang w:val="en-US" w:eastAsia="zh-CN"/>
              </w:rPr>
              <w:t>15</w:t>
            </w:r>
          </w:p>
        </w:tc>
      </w:tr>
    </w:tbl>
    <w:p w14:paraId="5381A215">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注：（1）上述提供的证明材料应提供其扫描件并加盖投标人的单位电子公章；</w:t>
      </w:r>
    </w:p>
    <w:p w14:paraId="1CD2926F">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    （2）技术标评分由评标成员每人一份评分表，在分值范围内各自独立打分并签名。投标人技术得分为评标委员会各成员的有效评分的算术平均值（小数点保留二位，第三位四舍五入）；</w:t>
      </w:r>
    </w:p>
    <w:p w14:paraId="4E4883FF">
      <w:pPr>
        <w:numPr>
          <w:ilvl w:val="0"/>
          <w:numId w:val="0"/>
        </w:numPr>
        <w:autoSpaceDE w:val="0"/>
        <w:autoSpaceDN w:val="0"/>
        <w:adjustRightInd w:val="0"/>
        <w:snapToGrid w:val="0"/>
        <w:spacing w:after="0" w:line="32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    （3）资信标及商务标由评标委员会按评审标准统一评分（评分分值小数点保留二位，第三位四舍五入）。</w:t>
      </w:r>
    </w:p>
    <w:p w14:paraId="13A801CD">
      <w:pPr>
        <w:spacing w:after="0" w:line="360" w:lineRule="auto"/>
        <w:ind w:firstLine="422" w:firstLineChars="200"/>
        <w:rPr>
          <w:rFonts w:hint="eastAsia" w:ascii="宋体" w:hAnsi="宋体" w:eastAsia="宋体" w:cs="宋体"/>
          <w:b/>
          <w:bCs/>
          <w:szCs w:val="21"/>
        </w:rPr>
      </w:pPr>
      <w:r>
        <w:rPr>
          <w:rFonts w:hint="eastAsia" w:ascii="宋体" w:hAnsi="宋体" w:cs="宋体"/>
          <w:b/>
          <w:bCs/>
          <w:szCs w:val="21"/>
          <w:lang w:val="en-US" w:eastAsia="zh-CN"/>
        </w:rPr>
        <w:t>4.2</w:t>
      </w:r>
      <w:r>
        <w:rPr>
          <w:rFonts w:hint="eastAsia" w:ascii="宋体" w:hAnsi="宋体" w:eastAsia="宋体" w:cs="宋体"/>
          <w:b/>
          <w:bCs/>
          <w:szCs w:val="21"/>
        </w:rPr>
        <w:t>综合得分</w:t>
      </w:r>
    </w:p>
    <w:p w14:paraId="1AE8983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投标人的综合得分为商务技术分和报价分的总和。</w:t>
      </w:r>
    </w:p>
    <w:p w14:paraId="156B9BF8">
      <w:pPr>
        <w:spacing w:after="0" w:line="360" w:lineRule="auto"/>
        <w:ind w:firstLine="422" w:firstLineChars="200"/>
        <w:rPr>
          <w:rFonts w:hint="eastAsia" w:ascii="宋体" w:hAnsi="宋体" w:eastAsia="宋体" w:cs="宋体"/>
          <w:b/>
          <w:bCs/>
          <w:szCs w:val="21"/>
        </w:rPr>
      </w:pPr>
      <w:r>
        <w:rPr>
          <w:rFonts w:hint="eastAsia" w:ascii="宋体" w:hAnsi="宋体" w:cs="宋体"/>
          <w:b/>
          <w:bCs/>
          <w:szCs w:val="21"/>
          <w:lang w:val="en-US" w:eastAsia="zh-CN"/>
        </w:rPr>
        <w:t>4.3</w:t>
      </w:r>
      <w:r>
        <w:rPr>
          <w:rFonts w:hint="eastAsia" w:ascii="宋体" w:hAnsi="宋体" w:eastAsia="宋体" w:cs="宋体"/>
          <w:b/>
          <w:bCs/>
          <w:szCs w:val="21"/>
        </w:rPr>
        <w:t>评标报告</w:t>
      </w:r>
    </w:p>
    <w:p w14:paraId="368BE2B4">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4.3.1</w:t>
      </w:r>
      <w:r>
        <w:rPr>
          <w:rFonts w:hint="eastAsia" w:ascii="宋体" w:hAnsi="宋体" w:eastAsia="宋体" w:cs="宋体"/>
          <w:szCs w:val="21"/>
        </w:rPr>
        <w:t>评标委员会对投标文件做出的评审结论，应当符合有关法律、法规、规章和招标文件的规定。评标委员会应在评标报告中按综合得分从高到低的顺序依次推荐得分第一名的为第一中标候选人，推荐得分第二名的为第二中标候人。得分相同时由评标委员会全体成员记名投票按少数服从多数的原则确定中标候选顺序。</w:t>
      </w:r>
    </w:p>
    <w:p w14:paraId="1D06BFE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4.3.2</w:t>
      </w:r>
      <w:r>
        <w:rPr>
          <w:rFonts w:hint="eastAsia" w:ascii="宋体" w:hAnsi="宋体" w:eastAsia="宋体" w:cs="宋体"/>
          <w:szCs w:val="21"/>
        </w:rPr>
        <w:t>评标委员会应根据评标情况和结果，向招标人提交评标报告。评标报告由评标委员会成员起草，经评标委员会三分之二以上的成员同意通过。评标委员会全体成员应在评标报告上签字确认，评标专家如有保留意见可以在评标报告中阐明。</w:t>
      </w:r>
    </w:p>
    <w:p w14:paraId="7CB444C8">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w:t>
      </w:r>
      <w:r>
        <w:rPr>
          <w:rFonts w:hint="eastAsia" w:ascii="宋体" w:hAnsi="宋体" w:eastAsia="宋体" w:cs="宋体"/>
          <w:szCs w:val="21"/>
        </w:rPr>
        <w:t>评标报告应包括以下内容：</w:t>
      </w:r>
    </w:p>
    <w:p w14:paraId="439891CD">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4.3.3.1</w:t>
      </w:r>
      <w:r>
        <w:rPr>
          <w:rFonts w:hint="eastAsia" w:ascii="宋体" w:hAnsi="宋体" w:eastAsia="宋体" w:cs="宋体"/>
          <w:szCs w:val="21"/>
        </w:rPr>
        <w:t>开标记录；</w:t>
      </w:r>
    </w:p>
    <w:p w14:paraId="62D5F31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4.3.3.2</w:t>
      </w:r>
      <w:r>
        <w:rPr>
          <w:rFonts w:hint="eastAsia" w:ascii="宋体" w:hAnsi="宋体" w:eastAsia="宋体" w:cs="宋体"/>
          <w:szCs w:val="21"/>
        </w:rPr>
        <w:t>评标内容、过程和结果；</w:t>
      </w:r>
    </w:p>
    <w:p w14:paraId="581C9C32">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4.3.3.3</w:t>
      </w:r>
      <w:r>
        <w:rPr>
          <w:rFonts w:hint="eastAsia" w:ascii="宋体" w:hAnsi="宋体" w:eastAsia="宋体" w:cs="宋体"/>
          <w:szCs w:val="21"/>
        </w:rPr>
        <w:t>投标被否决情况详细说明及相关依据；（如有）</w:t>
      </w:r>
    </w:p>
    <w:p w14:paraId="0E22B5CC">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4.3.3.4</w:t>
      </w:r>
      <w:r>
        <w:rPr>
          <w:rFonts w:hint="eastAsia" w:ascii="宋体" w:hAnsi="宋体" w:eastAsia="宋体" w:cs="宋体"/>
          <w:szCs w:val="21"/>
        </w:rPr>
        <w:t>询标澄清纪要；（如有）</w:t>
      </w:r>
    </w:p>
    <w:p w14:paraId="240F8C63">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4.3.3.5</w:t>
      </w:r>
      <w:r>
        <w:rPr>
          <w:rFonts w:hint="eastAsia" w:ascii="宋体" w:hAnsi="宋体" w:eastAsia="宋体" w:cs="宋体"/>
          <w:szCs w:val="21"/>
        </w:rPr>
        <w:t>中标候选人的优劣对比和存在问题；</w:t>
      </w:r>
    </w:p>
    <w:p w14:paraId="5536A2AA">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4.3.3.6</w:t>
      </w:r>
      <w:r>
        <w:rPr>
          <w:rFonts w:hint="eastAsia" w:ascii="宋体" w:hAnsi="宋体" w:eastAsia="宋体" w:cs="宋体"/>
          <w:szCs w:val="21"/>
        </w:rPr>
        <w:t>其他建议；</w:t>
      </w:r>
    </w:p>
    <w:p w14:paraId="68468A0E">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4.3.3.7</w:t>
      </w:r>
      <w:r>
        <w:rPr>
          <w:rFonts w:hint="eastAsia" w:ascii="宋体" w:hAnsi="宋体" w:eastAsia="宋体" w:cs="宋体"/>
          <w:szCs w:val="21"/>
        </w:rPr>
        <w:t>评标结果将在网上公示。</w:t>
      </w:r>
    </w:p>
    <w:p w14:paraId="30744C9E">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五、定标</w:t>
      </w:r>
    </w:p>
    <w:p w14:paraId="3D57D67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招标人应根据评标委员会提供的评标报告和推荐意见以及相关法规的规定确定中标人。招标人应当确定排名第一中标候选人为本次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618715E">
      <w:pPr>
        <w:spacing w:after="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六、其它要求</w:t>
      </w:r>
    </w:p>
    <w:p w14:paraId="30DB6537">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6.1</w:t>
      </w:r>
      <w:r>
        <w:rPr>
          <w:rFonts w:hint="eastAsia" w:ascii="宋体" w:hAnsi="宋体" w:eastAsia="宋体" w:cs="宋体"/>
          <w:szCs w:val="21"/>
        </w:rPr>
        <w:t>评标委员会应认真审阅投标文件，对投标文件进行客观公正的评价。对投标文件中存在的问题和对比分析，应记录在专家评审意见表中。</w:t>
      </w:r>
    </w:p>
    <w:p w14:paraId="732F32A0">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6.2</w:t>
      </w:r>
      <w:r>
        <w:rPr>
          <w:rFonts w:hint="eastAsia" w:ascii="宋体" w:hAnsi="宋体" w:eastAsia="宋体" w:cs="宋体"/>
          <w:szCs w:val="21"/>
        </w:rPr>
        <w:t>评标在保密的情况下进行，评标委员会专家及有关人员应遵守评标纪律，不得泄露任何评标信息或收受投标人的财物。如有违反，将严肃查处。</w:t>
      </w:r>
    </w:p>
    <w:p w14:paraId="28B416C7">
      <w:pPr>
        <w:spacing w:after="0" w:line="360" w:lineRule="auto"/>
        <w:ind w:firstLine="420" w:firstLineChars="200"/>
        <w:rPr>
          <w:rFonts w:hint="eastAsia" w:ascii="宋体" w:hAnsi="宋体" w:eastAsia="宋体" w:cs="宋体"/>
          <w:szCs w:val="21"/>
        </w:rPr>
      </w:pPr>
      <w:r>
        <w:rPr>
          <w:rFonts w:hint="eastAsia" w:ascii="宋体" w:hAnsi="宋体" w:cs="宋体"/>
          <w:szCs w:val="21"/>
          <w:lang w:val="en-US" w:eastAsia="zh-CN"/>
        </w:rPr>
        <w:t>6.3</w:t>
      </w:r>
      <w:r>
        <w:rPr>
          <w:rFonts w:hint="eastAsia" w:ascii="宋体" w:hAnsi="宋体" w:eastAsia="宋体" w:cs="宋体"/>
          <w:szCs w:val="21"/>
        </w:rPr>
        <w:t>投标人不得打听评标信息或干扰评标工作。</w:t>
      </w:r>
    </w:p>
    <w:sectPr>
      <w:footerReference r:id="rId9" w:type="first"/>
      <w:headerReference r:id="rId7" w:type="default"/>
      <w:footerReference r:id="rId8" w:type="default"/>
      <w:pgSz w:w="11906" w:h="16838"/>
      <w:pgMar w:top="1247" w:right="1247" w:bottom="1247" w:left="1474" w:header="851" w:footer="62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FC5A">
    <w:pPr>
      <w:pStyle w:val="24"/>
      <w:framePr w:wrap="around" w:vAnchor="text" w:hAnchor="margin" w:xAlign="center" w:y="1"/>
      <w:rPr>
        <w:rStyle w:val="48"/>
      </w:rPr>
    </w:pPr>
    <w:r>
      <w:fldChar w:fldCharType="begin"/>
    </w:r>
    <w:r>
      <w:rPr>
        <w:rStyle w:val="48"/>
      </w:rPr>
      <w:instrText xml:space="preserve">PAGE  </w:instrText>
    </w:r>
    <w:r>
      <w:fldChar w:fldCharType="end"/>
    </w:r>
  </w:p>
  <w:p w14:paraId="709BB7EA">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2E9">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049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52189BE8">
                          <w:pPr>
                            <w:pStyle w:val="24"/>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85pt;width:9.05pt;mso-position-horizontal:center;mso-position-horizontal-relative:margin;mso-wrap-style:none;z-index:251659264;mso-width-relative:page;mso-height-relative:page;" filled="f" stroked="f" coordsize="21600,21600" o:gfxdata="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mo1+bRAAAAAwEAAA8AAAAAAAAAAQAgAAAAIgAAAGRycy9kb3ducmV2Lnht&#10;bFBLAQIUABQAAAAIAIdO4kAA8OtxxwEAAIsDAAAOAAAAAAAAAAEAIAAAACABAABkcnMvZTJvRG9j&#10;LnhtbFBLBQYAAAAABgAGAFkBAABZBQAAAAA=&#10;">
              <v:fill on="f" focussize="0,0"/>
              <v:stroke on="f"/>
              <v:imagedata o:title=""/>
              <o:lock v:ext="edit" aspectratio="f"/>
              <v:textbox inset="0mm,0mm,0mm,0mm" style="mso-fit-shape-to-text:t;">
                <w:txbxContent>
                  <w:p w14:paraId="52189BE8">
                    <w:pPr>
                      <w:pStyle w:val="24"/>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BC62">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049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4D7629FE">
                          <w:pPr>
                            <w:pStyle w:val="24"/>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1.85pt;width:9.05pt;mso-position-horizontal:center;mso-position-horizontal-relative:margin;mso-wrap-style:none;z-index:251660288;mso-width-relative:page;mso-height-relative:page;" filled="f" stroked="f" coordsize="21600,21600" o:gfxdata="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mo1+bRAAAAAwEAAA8AAAAAAAAAAQAgAAAAIgAAAGRycy9kb3ducmV2Lnht&#10;bFBLAQIUABQAAAAIAIdO4kBRdWT+xwEAAIsDAAAOAAAAAAAAAAEAIAAAACABAABkcnMvZTJvRG9j&#10;LnhtbFBLBQYAAAAABgAGAFkBAABZBQAAAAA=&#10;">
              <v:fill on="f" focussize="0,0"/>
              <v:stroke on="f"/>
              <v:imagedata o:title=""/>
              <o:lock v:ext="edit" aspectratio="f"/>
              <v:textbox inset="0mm,0mm,0mm,0mm" style="mso-fit-shape-to-text:t;">
                <w:txbxContent>
                  <w:p w14:paraId="4D7629FE">
                    <w:pPr>
                      <w:pStyle w:val="24"/>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1CDA">
    <w:pPr>
      <w:pStyle w:val="2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57FF">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3C92F"/>
    <w:multiLevelType w:val="singleLevel"/>
    <w:tmpl w:val="BB73C92F"/>
    <w:lvl w:ilvl="0" w:tentative="0">
      <w:start w:val="5"/>
      <w:numFmt w:val="chineseCounting"/>
      <w:suff w:val="space"/>
      <w:lvlText w:val="第%1章"/>
      <w:lvlJc w:val="left"/>
      <w:rPr>
        <w:rFonts w:hint="eastAsia"/>
      </w:rPr>
    </w:lvl>
  </w:abstractNum>
  <w:abstractNum w:abstractNumId="1">
    <w:nsid w:val="ED7B024C"/>
    <w:multiLevelType w:val="singleLevel"/>
    <w:tmpl w:val="ED7B024C"/>
    <w:lvl w:ilvl="0" w:tentative="0">
      <w:start w:val="1"/>
      <w:numFmt w:val="decimal"/>
      <w:suff w:val="nothing"/>
      <w:lvlText w:val="（%1）"/>
      <w:lvlJc w:val="left"/>
    </w:lvl>
  </w:abstractNum>
  <w:abstractNum w:abstractNumId="2">
    <w:nsid w:val="00000019"/>
    <w:multiLevelType w:val="multilevel"/>
    <w:tmpl w:val="00000019"/>
    <w:lvl w:ilvl="0" w:tentative="0">
      <w:start w:val="1"/>
      <w:numFmt w:val="decimal"/>
      <w:pStyle w:val="87"/>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14DB6FD"/>
    <w:multiLevelType w:val="singleLevel"/>
    <w:tmpl w:val="614DB6FD"/>
    <w:lvl w:ilvl="0" w:tentative="0">
      <w:start w:val="1"/>
      <w:numFmt w:val="decimal"/>
      <w:suff w:val="nothing"/>
      <w:lvlText w:val="（%1）"/>
      <w:lvlJc w:val="left"/>
    </w:lvl>
  </w:abstractNum>
  <w:abstractNum w:abstractNumId="4">
    <w:nsid w:val="6905D122"/>
    <w:multiLevelType w:val="singleLevel"/>
    <w:tmpl w:val="6905D122"/>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4NWYxZDJiMGExMDA3NzViNTE1NmRhOWU0ZTBjYTAifQ=="/>
  </w:docVars>
  <w:rsids>
    <w:rsidRoot w:val="00172A27"/>
    <w:rsid w:val="00003D9C"/>
    <w:rsid w:val="00004A27"/>
    <w:rsid w:val="00005314"/>
    <w:rsid w:val="00011008"/>
    <w:rsid w:val="00011038"/>
    <w:rsid w:val="000125C5"/>
    <w:rsid w:val="00012919"/>
    <w:rsid w:val="00013BC2"/>
    <w:rsid w:val="00013C14"/>
    <w:rsid w:val="00014556"/>
    <w:rsid w:val="00015794"/>
    <w:rsid w:val="000204E7"/>
    <w:rsid w:val="00021051"/>
    <w:rsid w:val="00024958"/>
    <w:rsid w:val="00024DAB"/>
    <w:rsid w:val="00027934"/>
    <w:rsid w:val="00033AD8"/>
    <w:rsid w:val="00033CE3"/>
    <w:rsid w:val="00033D0E"/>
    <w:rsid w:val="0003418A"/>
    <w:rsid w:val="00034244"/>
    <w:rsid w:val="00034B8C"/>
    <w:rsid w:val="00036C4A"/>
    <w:rsid w:val="000377FE"/>
    <w:rsid w:val="000378F4"/>
    <w:rsid w:val="00037B34"/>
    <w:rsid w:val="00043755"/>
    <w:rsid w:val="000441A9"/>
    <w:rsid w:val="00044C9F"/>
    <w:rsid w:val="0004710E"/>
    <w:rsid w:val="000505C6"/>
    <w:rsid w:val="00054941"/>
    <w:rsid w:val="00056929"/>
    <w:rsid w:val="00057E66"/>
    <w:rsid w:val="00057F4D"/>
    <w:rsid w:val="00061F5A"/>
    <w:rsid w:val="000673B5"/>
    <w:rsid w:val="000677F2"/>
    <w:rsid w:val="00070225"/>
    <w:rsid w:val="000716A1"/>
    <w:rsid w:val="00073B0F"/>
    <w:rsid w:val="00073F49"/>
    <w:rsid w:val="00076750"/>
    <w:rsid w:val="00080018"/>
    <w:rsid w:val="000815AE"/>
    <w:rsid w:val="00083B5E"/>
    <w:rsid w:val="00084614"/>
    <w:rsid w:val="00084D92"/>
    <w:rsid w:val="000858D4"/>
    <w:rsid w:val="0008773E"/>
    <w:rsid w:val="00087966"/>
    <w:rsid w:val="0008797D"/>
    <w:rsid w:val="00090558"/>
    <w:rsid w:val="00090AE0"/>
    <w:rsid w:val="0009151A"/>
    <w:rsid w:val="000921E2"/>
    <w:rsid w:val="000935B3"/>
    <w:rsid w:val="00093AB1"/>
    <w:rsid w:val="00094858"/>
    <w:rsid w:val="00094F0A"/>
    <w:rsid w:val="000A0A92"/>
    <w:rsid w:val="000A34BA"/>
    <w:rsid w:val="000A4102"/>
    <w:rsid w:val="000A475D"/>
    <w:rsid w:val="000A4AB3"/>
    <w:rsid w:val="000A5A40"/>
    <w:rsid w:val="000A5BC1"/>
    <w:rsid w:val="000B20F8"/>
    <w:rsid w:val="000B247B"/>
    <w:rsid w:val="000B36CA"/>
    <w:rsid w:val="000B6A01"/>
    <w:rsid w:val="000B6A07"/>
    <w:rsid w:val="000C33B2"/>
    <w:rsid w:val="000C37C6"/>
    <w:rsid w:val="000C45B7"/>
    <w:rsid w:val="000D0044"/>
    <w:rsid w:val="000D0A95"/>
    <w:rsid w:val="000D0DE8"/>
    <w:rsid w:val="000D49EE"/>
    <w:rsid w:val="000E02B2"/>
    <w:rsid w:val="000E1328"/>
    <w:rsid w:val="000E1DAD"/>
    <w:rsid w:val="000E3912"/>
    <w:rsid w:val="000E3A64"/>
    <w:rsid w:val="000E4C0D"/>
    <w:rsid w:val="000E5618"/>
    <w:rsid w:val="000E7B97"/>
    <w:rsid w:val="000F3733"/>
    <w:rsid w:val="000F6FE8"/>
    <w:rsid w:val="001003E1"/>
    <w:rsid w:val="00101AAC"/>
    <w:rsid w:val="00102FAF"/>
    <w:rsid w:val="001042E8"/>
    <w:rsid w:val="0010462B"/>
    <w:rsid w:val="001058AF"/>
    <w:rsid w:val="001124AF"/>
    <w:rsid w:val="001130C9"/>
    <w:rsid w:val="0011392A"/>
    <w:rsid w:val="00113C69"/>
    <w:rsid w:val="00115255"/>
    <w:rsid w:val="00115923"/>
    <w:rsid w:val="00115A62"/>
    <w:rsid w:val="001174F4"/>
    <w:rsid w:val="00120ECD"/>
    <w:rsid w:val="001221B8"/>
    <w:rsid w:val="001225BF"/>
    <w:rsid w:val="00123FB8"/>
    <w:rsid w:val="00124441"/>
    <w:rsid w:val="00127E9A"/>
    <w:rsid w:val="00131AA7"/>
    <w:rsid w:val="00131B43"/>
    <w:rsid w:val="0013241D"/>
    <w:rsid w:val="00137683"/>
    <w:rsid w:val="00141B4B"/>
    <w:rsid w:val="00146EB9"/>
    <w:rsid w:val="001504A8"/>
    <w:rsid w:val="00152261"/>
    <w:rsid w:val="001608EE"/>
    <w:rsid w:val="0016131B"/>
    <w:rsid w:val="0016467F"/>
    <w:rsid w:val="00170591"/>
    <w:rsid w:val="00172A27"/>
    <w:rsid w:val="00172F14"/>
    <w:rsid w:val="0017634C"/>
    <w:rsid w:val="00177FEE"/>
    <w:rsid w:val="00181612"/>
    <w:rsid w:val="00182343"/>
    <w:rsid w:val="00182C8A"/>
    <w:rsid w:val="0018347A"/>
    <w:rsid w:val="001840F9"/>
    <w:rsid w:val="00185656"/>
    <w:rsid w:val="00185CCC"/>
    <w:rsid w:val="00185FCB"/>
    <w:rsid w:val="00187FCF"/>
    <w:rsid w:val="00190E25"/>
    <w:rsid w:val="00193AC3"/>
    <w:rsid w:val="00194DC7"/>
    <w:rsid w:val="001A0831"/>
    <w:rsid w:val="001A0C1B"/>
    <w:rsid w:val="001A0F5A"/>
    <w:rsid w:val="001A1EC9"/>
    <w:rsid w:val="001A38B3"/>
    <w:rsid w:val="001A3A5D"/>
    <w:rsid w:val="001A4C27"/>
    <w:rsid w:val="001B00BE"/>
    <w:rsid w:val="001B13BB"/>
    <w:rsid w:val="001B301E"/>
    <w:rsid w:val="001B4D81"/>
    <w:rsid w:val="001B603D"/>
    <w:rsid w:val="001C0138"/>
    <w:rsid w:val="001C2270"/>
    <w:rsid w:val="001C33A0"/>
    <w:rsid w:val="001C34C9"/>
    <w:rsid w:val="001C47FF"/>
    <w:rsid w:val="001C516C"/>
    <w:rsid w:val="001C67BC"/>
    <w:rsid w:val="001C6FE1"/>
    <w:rsid w:val="001D1F3F"/>
    <w:rsid w:val="001D257D"/>
    <w:rsid w:val="001D398E"/>
    <w:rsid w:val="001D4151"/>
    <w:rsid w:val="001D4F12"/>
    <w:rsid w:val="001D536C"/>
    <w:rsid w:val="001D60A9"/>
    <w:rsid w:val="001D69D9"/>
    <w:rsid w:val="001E0AF8"/>
    <w:rsid w:val="001E2480"/>
    <w:rsid w:val="001E2CD7"/>
    <w:rsid w:val="001E571B"/>
    <w:rsid w:val="001E74A6"/>
    <w:rsid w:val="001F010D"/>
    <w:rsid w:val="001F017F"/>
    <w:rsid w:val="001F0F85"/>
    <w:rsid w:val="001F2702"/>
    <w:rsid w:val="001F2C73"/>
    <w:rsid w:val="001F47DD"/>
    <w:rsid w:val="001F4EBA"/>
    <w:rsid w:val="00200565"/>
    <w:rsid w:val="002007FE"/>
    <w:rsid w:val="00200D62"/>
    <w:rsid w:val="00200D85"/>
    <w:rsid w:val="00200F2D"/>
    <w:rsid w:val="00201286"/>
    <w:rsid w:val="00201713"/>
    <w:rsid w:val="00201DA0"/>
    <w:rsid w:val="00204611"/>
    <w:rsid w:val="0020683B"/>
    <w:rsid w:val="002077CB"/>
    <w:rsid w:val="0021154B"/>
    <w:rsid w:val="002124D5"/>
    <w:rsid w:val="00213A60"/>
    <w:rsid w:val="00213D80"/>
    <w:rsid w:val="002149C4"/>
    <w:rsid w:val="00214D41"/>
    <w:rsid w:val="00222314"/>
    <w:rsid w:val="00222BF7"/>
    <w:rsid w:val="00223850"/>
    <w:rsid w:val="00224131"/>
    <w:rsid w:val="002262DA"/>
    <w:rsid w:val="00226877"/>
    <w:rsid w:val="00226BCD"/>
    <w:rsid w:val="002271CF"/>
    <w:rsid w:val="00230C8B"/>
    <w:rsid w:val="00232A72"/>
    <w:rsid w:val="002356DF"/>
    <w:rsid w:val="002360A9"/>
    <w:rsid w:val="00236496"/>
    <w:rsid w:val="00240C69"/>
    <w:rsid w:val="002414A4"/>
    <w:rsid w:val="00241802"/>
    <w:rsid w:val="002420F6"/>
    <w:rsid w:val="002455DB"/>
    <w:rsid w:val="00247345"/>
    <w:rsid w:val="00247B02"/>
    <w:rsid w:val="002510D6"/>
    <w:rsid w:val="0025177A"/>
    <w:rsid w:val="0025233E"/>
    <w:rsid w:val="00253693"/>
    <w:rsid w:val="00253C2C"/>
    <w:rsid w:val="002553E8"/>
    <w:rsid w:val="002576A8"/>
    <w:rsid w:val="0025781E"/>
    <w:rsid w:val="00260515"/>
    <w:rsid w:val="00260AA2"/>
    <w:rsid w:val="00261AD8"/>
    <w:rsid w:val="00261C00"/>
    <w:rsid w:val="00262128"/>
    <w:rsid w:val="00262340"/>
    <w:rsid w:val="0026422E"/>
    <w:rsid w:val="0026438C"/>
    <w:rsid w:val="00265346"/>
    <w:rsid w:val="00270497"/>
    <w:rsid w:val="00270B85"/>
    <w:rsid w:val="00271222"/>
    <w:rsid w:val="002715DD"/>
    <w:rsid w:val="002716E2"/>
    <w:rsid w:val="00271747"/>
    <w:rsid w:val="002722FD"/>
    <w:rsid w:val="002728A2"/>
    <w:rsid w:val="00273CC5"/>
    <w:rsid w:val="0027454C"/>
    <w:rsid w:val="00276211"/>
    <w:rsid w:val="00276A10"/>
    <w:rsid w:val="00276F91"/>
    <w:rsid w:val="00277D65"/>
    <w:rsid w:val="002803AC"/>
    <w:rsid w:val="00282EDE"/>
    <w:rsid w:val="00282F50"/>
    <w:rsid w:val="00284287"/>
    <w:rsid w:val="00285450"/>
    <w:rsid w:val="00285D70"/>
    <w:rsid w:val="0028737D"/>
    <w:rsid w:val="00291482"/>
    <w:rsid w:val="00294DDC"/>
    <w:rsid w:val="00295CF2"/>
    <w:rsid w:val="0029650C"/>
    <w:rsid w:val="002978C8"/>
    <w:rsid w:val="002A0650"/>
    <w:rsid w:val="002A23AC"/>
    <w:rsid w:val="002A3875"/>
    <w:rsid w:val="002A3A93"/>
    <w:rsid w:val="002A47D9"/>
    <w:rsid w:val="002A4AF4"/>
    <w:rsid w:val="002A5EDD"/>
    <w:rsid w:val="002A7A0F"/>
    <w:rsid w:val="002A7E9F"/>
    <w:rsid w:val="002B35D3"/>
    <w:rsid w:val="002B3D57"/>
    <w:rsid w:val="002B5AF5"/>
    <w:rsid w:val="002B5ED9"/>
    <w:rsid w:val="002B7E81"/>
    <w:rsid w:val="002C050E"/>
    <w:rsid w:val="002C27C4"/>
    <w:rsid w:val="002C323C"/>
    <w:rsid w:val="002C512D"/>
    <w:rsid w:val="002C5501"/>
    <w:rsid w:val="002C5C45"/>
    <w:rsid w:val="002D1286"/>
    <w:rsid w:val="002D257E"/>
    <w:rsid w:val="002D2AFB"/>
    <w:rsid w:val="002D3C75"/>
    <w:rsid w:val="002D3FF1"/>
    <w:rsid w:val="002D4FB0"/>
    <w:rsid w:val="002D613D"/>
    <w:rsid w:val="002D627D"/>
    <w:rsid w:val="002D7148"/>
    <w:rsid w:val="002D785A"/>
    <w:rsid w:val="002E1BE1"/>
    <w:rsid w:val="002E1F5A"/>
    <w:rsid w:val="002E2922"/>
    <w:rsid w:val="002E2AAA"/>
    <w:rsid w:val="002E4ABA"/>
    <w:rsid w:val="002E5D7B"/>
    <w:rsid w:val="002E60EC"/>
    <w:rsid w:val="002E76B2"/>
    <w:rsid w:val="002E7FB5"/>
    <w:rsid w:val="002F0E4C"/>
    <w:rsid w:val="002F160B"/>
    <w:rsid w:val="002F1940"/>
    <w:rsid w:val="002F1A82"/>
    <w:rsid w:val="002F2F77"/>
    <w:rsid w:val="002F3B41"/>
    <w:rsid w:val="002F3BC5"/>
    <w:rsid w:val="002F5DED"/>
    <w:rsid w:val="002F7698"/>
    <w:rsid w:val="003009C7"/>
    <w:rsid w:val="00300B98"/>
    <w:rsid w:val="0030151F"/>
    <w:rsid w:val="00302A23"/>
    <w:rsid w:val="00302AA8"/>
    <w:rsid w:val="00307454"/>
    <w:rsid w:val="003111F6"/>
    <w:rsid w:val="00312B82"/>
    <w:rsid w:val="0031436F"/>
    <w:rsid w:val="00316130"/>
    <w:rsid w:val="00320C62"/>
    <w:rsid w:val="003242D6"/>
    <w:rsid w:val="00330BC3"/>
    <w:rsid w:val="00330BD1"/>
    <w:rsid w:val="00330CE0"/>
    <w:rsid w:val="00333BEF"/>
    <w:rsid w:val="003353C6"/>
    <w:rsid w:val="00335AF5"/>
    <w:rsid w:val="00343041"/>
    <w:rsid w:val="00345539"/>
    <w:rsid w:val="00346721"/>
    <w:rsid w:val="0034684B"/>
    <w:rsid w:val="0034704B"/>
    <w:rsid w:val="003476BC"/>
    <w:rsid w:val="003478B5"/>
    <w:rsid w:val="00347EC9"/>
    <w:rsid w:val="00351A42"/>
    <w:rsid w:val="00352DA0"/>
    <w:rsid w:val="00355BA2"/>
    <w:rsid w:val="0035705D"/>
    <w:rsid w:val="00357481"/>
    <w:rsid w:val="00361BAB"/>
    <w:rsid w:val="00362600"/>
    <w:rsid w:val="00362FCF"/>
    <w:rsid w:val="00363A22"/>
    <w:rsid w:val="00364337"/>
    <w:rsid w:val="003657BA"/>
    <w:rsid w:val="003705C1"/>
    <w:rsid w:val="00372CF7"/>
    <w:rsid w:val="003732F0"/>
    <w:rsid w:val="003808F2"/>
    <w:rsid w:val="00380CCE"/>
    <w:rsid w:val="003816E8"/>
    <w:rsid w:val="00391E80"/>
    <w:rsid w:val="00393458"/>
    <w:rsid w:val="0039463E"/>
    <w:rsid w:val="003947B3"/>
    <w:rsid w:val="003959BD"/>
    <w:rsid w:val="00397F79"/>
    <w:rsid w:val="003A1C3C"/>
    <w:rsid w:val="003A3824"/>
    <w:rsid w:val="003A7678"/>
    <w:rsid w:val="003B183C"/>
    <w:rsid w:val="003B1FC4"/>
    <w:rsid w:val="003B3094"/>
    <w:rsid w:val="003B4254"/>
    <w:rsid w:val="003B5D00"/>
    <w:rsid w:val="003B73F4"/>
    <w:rsid w:val="003C0058"/>
    <w:rsid w:val="003C114E"/>
    <w:rsid w:val="003C240F"/>
    <w:rsid w:val="003C26DA"/>
    <w:rsid w:val="003C4935"/>
    <w:rsid w:val="003C6D34"/>
    <w:rsid w:val="003D054C"/>
    <w:rsid w:val="003D064D"/>
    <w:rsid w:val="003D1F35"/>
    <w:rsid w:val="003D27FC"/>
    <w:rsid w:val="003D3180"/>
    <w:rsid w:val="003D3F34"/>
    <w:rsid w:val="003D50E5"/>
    <w:rsid w:val="003D5BA3"/>
    <w:rsid w:val="003E0083"/>
    <w:rsid w:val="003E0F5A"/>
    <w:rsid w:val="003E0FAB"/>
    <w:rsid w:val="003E12AE"/>
    <w:rsid w:val="003E1D02"/>
    <w:rsid w:val="003E24A2"/>
    <w:rsid w:val="003E3075"/>
    <w:rsid w:val="003E494F"/>
    <w:rsid w:val="003E52EC"/>
    <w:rsid w:val="003E5A2D"/>
    <w:rsid w:val="003E6DDE"/>
    <w:rsid w:val="003E7AB2"/>
    <w:rsid w:val="003F19DA"/>
    <w:rsid w:val="003F31AD"/>
    <w:rsid w:val="003F413B"/>
    <w:rsid w:val="003F4494"/>
    <w:rsid w:val="003F7775"/>
    <w:rsid w:val="003F78B7"/>
    <w:rsid w:val="003F7C68"/>
    <w:rsid w:val="00400C53"/>
    <w:rsid w:val="00401716"/>
    <w:rsid w:val="00402262"/>
    <w:rsid w:val="004043CF"/>
    <w:rsid w:val="00404EF7"/>
    <w:rsid w:val="004113FD"/>
    <w:rsid w:val="00413130"/>
    <w:rsid w:val="00415791"/>
    <w:rsid w:val="0041711E"/>
    <w:rsid w:val="004211B5"/>
    <w:rsid w:val="0042245F"/>
    <w:rsid w:val="00422520"/>
    <w:rsid w:val="00423576"/>
    <w:rsid w:val="00423BBE"/>
    <w:rsid w:val="00424ECC"/>
    <w:rsid w:val="0042565C"/>
    <w:rsid w:val="00426A1F"/>
    <w:rsid w:val="00427994"/>
    <w:rsid w:val="00427E34"/>
    <w:rsid w:val="00430BBB"/>
    <w:rsid w:val="00432097"/>
    <w:rsid w:val="00433344"/>
    <w:rsid w:val="00433D21"/>
    <w:rsid w:val="00434BBC"/>
    <w:rsid w:val="0043616F"/>
    <w:rsid w:val="00436348"/>
    <w:rsid w:val="004367FB"/>
    <w:rsid w:val="0043736D"/>
    <w:rsid w:val="004415D7"/>
    <w:rsid w:val="00442BC0"/>
    <w:rsid w:val="00447BFF"/>
    <w:rsid w:val="004500A6"/>
    <w:rsid w:val="00450B84"/>
    <w:rsid w:val="0045146B"/>
    <w:rsid w:val="00451BBB"/>
    <w:rsid w:val="004523C2"/>
    <w:rsid w:val="00452455"/>
    <w:rsid w:val="00453E8B"/>
    <w:rsid w:val="00454692"/>
    <w:rsid w:val="00454C8F"/>
    <w:rsid w:val="00455B9B"/>
    <w:rsid w:val="00455F19"/>
    <w:rsid w:val="00456325"/>
    <w:rsid w:val="004574F0"/>
    <w:rsid w:val="004647A5"/>
    <w:rsid w:val="004653EA"/>
    <w:rsid w:val="00466D87"/>
    <w:rsid w:val="00471F02"/>
    <w:rsid w:val="00475FA1"/>
    <w:rsid w:val="00476C28"/>
    <w:rsid w:val="00476E07"/>
    <w:rsid w:val="0048132E"/>
    <w:rsid w:val="00482E6B"/>
    <w:rsid w:val="00483460"/>
    <w:rsid w:val="0048473B"/>
    <w:rsid w:val="00485111"/>
    <w:rsid w:val="00486E62"/>
    <w:rsid w:val="004910F1"/>
    <w:rsid w:val="004916A6"/>
    <w:rsid w:val="00491AA5"/>
    <w:rsid w:val="00491B19"/>
    <w:rsid w:val="004929AD"/>
    <w:rsid w:val="00496788"/>
    <w:rsid w:val="00497944"/>
    <w:rsid w:val="004A015A"/>
    <w:rsid w:val="004A0F3A"/>
    <w:rsid w:val="004A14CC"/>
    <w:rsid w:val="004A3033"/>
    <w:rsid w:val="004A4002"/>
    <w:rsid w:val="004A45E9"/>
    <w:rsid w:val="004A5830"/>
    <w:rsid w:val="004B296B"/>
    <w:rsid w:val="004B2B83"/>
    <w:rsid w:val="004B3A1E"/>
    <w:rsid w:val="004B4752"/>
    <w:rsid w:val="004B5068"/>
    <w:rsid w:val="004B56D7"/>
    <w:rsid w:val="004B6D3E"/>
    <w:rsid w:val="004C111D"/>
    <w:rsid w:val="004C22D6"/>
    <w:rsid w:val="004C3499"/>
    <w:rsid w:val="004C509F"/>
    <w:rsid w:val="004C6C81"/>
    <w:rsid w:val="004D0C0C"/>
    <w:rsid w:val="004D1C9F"/>
    <w:rsid w:val="004D4A1B"/>
    <w:rsid w:val="004D4ADD"/>
    <w:rsid w:val="004D6585"/>
    <w:rsid w:val="004D6C72"/>
    <w:rsid w:val="004D6F13"/>
    <w:rsid w:val="004E0AFF"/>
    <w:rsid w:val="004E392E"/>
    <w:rsid w:val="004E58C6"/>
    <w:rsid w:val="004E58F2"/>
    <w:rsid w:val="004E7339"/>
    <w:rsid w:val="004E781D"/>
    <w:rsid w:val="004E7930"/>
    <w:rsid w:val="004E7F4F"/>
    <w:rsid w:val="004F027B"/>
    <w:rsid w:val="004F4E76"/>
    <w:rsid w:val="004F5376"/>
    <w:rsid w:val="004F5DE5"/>
    <w:rsid w:val="004F6320"/>
    <w:rsid w:val="004F72B3"/>
    <w:rsid w:val="004F7C5C"/>
    <w:rsid w:val="00500979"/>
    <w:rsid w:val="0050184F"/>
    <w:rsid w:val="00501854"/>
    <w:rsid w:val="005038D8"/>
    <w:rsid w:val="005041A1"/>
    <w:rsid w:val="00505DD6"/>
    <w:rsid w:val="005065A7"/>
    <w:rsid w:val="00507379"/>
    <w:rsid w:val="005073BA"/>
    <w:rsid w:val="00510059"/>
    <w:rsid w:val="00510177"/>
    <w:rsid w:val="0051028A"/>
    <w:rsid w:val="005113E9"/>
    <w:rsid w:val="00513898"/>
    <w:rsid w:val="00513BF6"/>
    <w:rsid w:val="00514472"/>
    <w:rsid w:val="0051687E"/>
    <w:rsid w:val="005174CD"/>
    <w:rsid w:val="00520F60"/>
    <w:rsid w:val="0052255E"/>
    <w:rsid w:val="00522916"/>
    <w:rsid w:val="005234A0"/>
    <w:rsid w:val="00523D9F"/>
    <w:rsid w:val="00527996"/>
    <w:rsid w:val="00527AAE"/>
    <w:rsid w:val="005364A7"/>
    <w:rsid w:val="00536CE9"/>
    <w:rsid w:val="0053760F"/>
    <w:rsid w:val="00537624"/>
    <w:rsid w:val="00537BC9"/>
    <w:rsid w:val="00542F00"/>
    <w:rsid w:val="00543015"/>
    <w:rsid w:val="00544280"/>
    <w:rsid w:val="00545C72"/>
    <w:rsid w:val="005464B3"/>
    <w:rsid w:val="00546EAD"/>
    <w:rsid w:val="00547ED3"/>
    <w:rsid w:val="0055378A"/>
    <w:rsid w:val="00554087"/>
    <w:rsid w:val="00555549"/>
    <w:rsid w:val="00555E69"/>
    <w:rsid w:val="0055672B"/>
    <w:rsid w:val="00556BC0"/>
    <w:rsid w:val="005606FC"/>
    <w:rsid w:val="005620BD"/>
    <w:rsid w:val="005621D0"/>
    <w:rsid w:val="00562874"/>
    <w:rsid w:val="00563227"/>
    <w:rsid w:val="00564D40"/>
    <w:rsid w:val="00565764"/>
    <w:rsid w:val="00565F1D"/>
    <w:rsid w:val="00567976"/>
    <w:rsid w:val="005705E5"/>
    <w:rsid w:val="00572018"/>
    <w:rsid w:val="00572493"/>
    <w:rsid w:val="005731AC"/>
    <w:rsid w:val="00574339"/>
    <w:rsid w:val="005745D9"/>
    <w:rsid w:val="00574775"/>
    <w:rsid w:val="00574DD5"/>
    <w:rsid w:val="00581CAC"/>
    <w:rsid w:val="00582683"/>
    <w:rsid w:val="00583022"/>
    <w:rsid w:val="00583263"/>
    <w:rsid w:val="0058341B"/>
    <w:rsid w:val="00583DD1"/>
    <w:rsid w:val="0058422D"/>
    <w:rsid w:val="005867CD"/>
    <w:rsid w:val="005872FF"/>
    <w:rsid w:val="0059061B"/>
    <w:rsid w:val="00591529"/>
    <w:rsid w:val="005927D7"/>
    <w:rsid w:val="00593129"/>
    <w:rsid w:val="0059544C"/>
    <w:rsid w:val="00596AF8"/>
    <w:rsid w:val="005A0429"/>
    <w:rsid w:val="005A1698"/>
    <w:rsid w:val="005A18C1"/>
    <w:rsid w:val="005A27EE"/>
    <w:rsid w:val="005A466D"/>
    <w:rsid w:val="005A487B"/>
    <w:rsid w:val="005A4AC4"/>
    <w:rsid w:val="005A4E6A"/>
    <w:rsid w:val="005A4FA6"/>
    <w:rsid w:val="005A5012"/>
    <w:rsid w:val="005A67C4"/>
    <w:rsid w:val="005A6C8C"/>
    <w:rsid w:val="005B05C7"/>
    <w:rsid w:val="005B07B0"/>
    <w:rsid w:val="005B090B"/>
    <w:rsid w:val="005B18B2"/>
    <w:rsid w:val="005B43FE"/>
    <w:rsid w:val="005B583B"/>
    <w:rsid w:val="005B6202"/>
    <w:rsid w:val="005B73AB"/>
    <w:rsid w:val="005C1AAC"/>
    <w:rsid w:val="005C3011"/>
    <w:rsid w:val="005C344C"/>
    <w:rsid w:val="005C3F95"/>
    <w:rsid w:val="005C4C36"/>
    <w:rsid w:val="005C4CBB"/>
    <w:rsid w:val="005C5674"/>
    <w:rsid w:val="005C7DC9"/>
    <w:rsid w:val="005D3674"/>
    <w:rsid w:val="005D3BDF"/>
    <w:rsid w:val="005D4935"/>
    <w:rsid w:val="005D6B07"/>
    <w:rsid w:val="005E1851"/>
    <w:rsid w:val="005E28E9"/>
    <w:rsid w:val="005E3DCC"/>
    <w:rsid w:val="005F1C37"/>
    <w:rsid w:val="005F2E6D"/>
    <w:rsid w:val="005F3354"/>
    <w:rsid w:val="005F33CD"/>
    <w:rsid w:val="005F560E"/>
    <w:rsid w:val="006004C9"/>
    <w:rsid w:val="0060329C"/>
    <w:rsid w:val="00603C6B"/>
    <w:rsid w:val="00606D76"/>
    <w:rsid w:val="00611624"/>
    <w:rsid w:val="006126EE"/>
    <w:rsid w:val="00612C5B"/>
    <w:rsid w:val="00613C0A"/>
    <w:rsid w:val="006140D6"/>
    <w:rsid w:val="00615588"/>
    <w:rsid w:val="00615A80"/>
    <w:rsid w:val="006200AA"/>
    <w:rsid w:val="006214EB"/>
    <w:rsid w:val="00621899"/>
    <w:rsid w:val="00621E64"/>
    <w:rsid w:val="00624B36"/>
    <w:rsid w:val="00625765"/>
    <w:rsid w:val="0063002B"/>
    <w:rsid w:val="006304E2"/>
    <w:rsid w:val="006307BB"/>
    <w:rsid w:val="00630841"/>
    <w:rsid w:val="0063264C"/>
    <w:rsid w:val="0063431B"/>
    <w:rsid w:val="0063514F"/>
    <w:rsid w:val="00635F09"/>
    <w:rsid w:val="006363DE"/>
    <w:rsid w:val="00637233"/>
    <w:rsid w:val="006376A4"/>
    <w:rsid w:val="006402C1"/>
    <w:rsid w:val="0064087B"/>
    <w:rsid w:val="0064112B"/>
    <w:rsid w:val="00641305"/>
    <w:rsid w:val="0064289E"/>
    <w:rsid w:val="00647CCA"/>
    <w:rsid w:val="00650401"/>
    <w:rsid w:val="00650570"/>
    <w:rsid w:val="006506E9"/>
    <w:rsid w:val="006524EC"/>
    <w:rsid w:val="00654CA2"/>
    <w:rsid w:val="00656037"/>
    <w:rsid w:val="00656EE3"/>
    <w:rsid w:val="00657B79"/>
    <w:rsid w:val="00664DF6"/>
    <w:rsid w:val="00664E64"/>
    <w:rsid w:val="0066632C"/>
    <w:rsid w:val="006707DF"/>
    <w:rsid w:val="006717F5"/>
    <w:rsid w:val="00672120"/>
    <w:rsid w:val="00672C9B"/>
    <w:rsid w:val="0067549A"/>
    <w:rsid w:val="00675EB3"/>
    <w:rsid w:val="00676CE4"/>
    <w:rsid w:val="00677EF6"/>
    <w:rsid w:val="0068041D"/>
    <w:rsid w:val="006804BA"/>
    <w:rsid w:val="00681DD4"/>
    <w:rsid w:val="0068400E"/>
    <w:rsid w:val="0068442A"/>
    <w:rsid w:val="006847DE"/>
    <w:rsid w:val="006860BD"/>
    <w:rsid w:val="00687A11"/>
    <w:rsid w:val="00690C5E"/>
    <w:rsid w:val="00694488"/>
    <w:rsid w:val="006948A8"/>
    <w:rsid w:val="0069549D"/>
    <w:rsid w:val="006973AA"/>
    <w:rsid w:val="006A0870"/>
    <w:rsid w:val="006A1961"/>
    <w:rsid w:val="006A1FD4"/>
    <w:rsid w:val="006A301D"/>
    <w:rsid w:val="006A5C04"/>
    <w:rsid w:val="006A6BB6"/>
    <w:rsid w:val="006B173D"/>
    <w:rsid w:val="006B309C"/>
    <w:rsid w:val="006B3839"/>
    <w:rsid w:val="006B5C57"/>
    <w:rsid w:val="006C0498"/>
    <w:rsid w:val="006C192D"/>
    <w:rsid w:val="006C1C3A"/>
    <w:rsid w:val="006C23ED"/>
    <w:rsid w:val="006C345F"/>
    <w:rsid w:val="006C4596"/>
    <w:rsid w:val="006C4956"/>
    <w:rsid w:val="006C4B35"/>
    <w:rsid w:val="006C7100"/>
    <w:rsid w:val="006D12B0"/>
    <w:rsid w:val="006D1487"/>
    <w:rsid w:val="006D1680"/>
    <w:rsid w:val="006D4B96"/>
    <w:rsid w:val="006D576F"/>
    <w:rsid w:val="006D5789"/>
    <w:rsid w:val="006D5ED8"/>
    <w:rsid w:val="006D63B9"/>
    <w:rsid w:val="006D6B48"/>
    <w:rsid w:val="006E04C2"/>
    <w:rsid w:val="006E0BDA"/>
    <w:rsid w:val="006E0FD8"/>
    <w:rsid w:val="006E20F2"/>
    <w:rsid w:val="006E248F"/>
    <w:rsid w:val="006E376C"/>
    <w:rsid w:val="006E51E8"/>
    <w:rsid w:val="006E62C7"/>
    <w:rsid w:val="006E7CF7"/>
    <w:rsid w:val="006F1B05"/>
    <w:rsid w:val="006F23C2"/>
    <w:rsid w:val="006F2A67"/>
    <w:rsid w:val="006F32F8"/>
    <w:rsid w:val="006F38D0"/>
    <w:rsid w:val="006F3F3A"/>
    <w:rsid w:val="006F4164"/>
    <w:rsid w:val="006F7406"/>
    <w:rsid w:val="007007D4"/>
    <w:rsid w:val="00701391"/>
    <w:rsid w:val="00704436"/>
    <w:rsid w:val="00704626"/>
    <w:rsid w:val="00704C91"/>
    <w:rsid w:val="00705C37"/>
    <w:rsid w:val="007063F9"/>
    <w:rsid w:val="00707714"/>
    <w:rsid w:val="00711A2B"/>
    <w:rsid w:val="007145D8"/>
    <w:rsid w:val="00715C88"/>
    <w:rsid w:val="00716261"/>
    <w:rsid w:val="00716B2B"/>
    <w:rsid w:val="00716B36"/>
    <w:rsid w:val="0071790F"/>
    <w:rsid w:val="00720160"/>
    <w:rsid w:val="0072533E"/>
    <w:rsid w:val="00733675"/>
    <w:rsid w:val="00736906"/>
    <w:rsid w:val="00740B35"/>
    <w:rsid w:val="00740DF5"/>
    <w:rsid w:val="00740FE8"/>
    <w:rsid w:val="00744241"/>
    <w:rsid w:val="00744498"/>
    <w:rsid w:val="00745685"/>
    <w:rsid w:val="00752810"/>
    <w:rsid w:val="0075291D"/>
    <w:rsid w:val="0075316A"/>
    <w:rsid w:val="00754B17"/>
    <w:rsid w:val="0075621A"/>
    <w:rsid w:val="00756D89"/>
    <w:rsid w:val="00762CE4"/>
    <w:rsid w:val="00765B3C"/>
    <w:rsid w:val="00765F0E"/>
    <w:rsid w:val="00767D16"/>
    <w:rsid w:val="00772A32"/>
    <w:rsid w:val="00772CF2"/>
    <w:rsid w:val="00774CE8"/>
    <w:rsid w:val="00775303"/>
    <w:rsid w:val="00776503"/>
    <w:rsid w:val="00776B75"/>
    <w:rsid w:val="00776C35"/>
    <w:rsid w:val="00777E78"/>
    <w:rsid w:val="007813CE"/>
    <w:rsid w:val="00783423"/>
    <w:rsid w:val="0078505D"/>
    <w:rsid w:val="0078584C"/>
    <w:rsid w:val="0078669B"/>
    <w:rsid w:val="0078739C"/>
    <w:rsid w:val="007924BE"/>
    <w:rsid w:val="00792DEB"/>
    <w:rsid w:val="007931E2"/>
    <w:rsid w:val="00793C91"/>
    <w:rsid w:val="0079616D"/>
    <w:rsid w:val="00796CF1"/>
    <w:rsid w:val="00797D76"/>
    <w:rsid w:val="007A1303"/>
    <w:rsid w:val="007A2F4E"/>
    <w:rsid w:val="007A3DF9"/>
    <w:rsid w:val="007A4E57"/>
    <w:rsid w:val="007A7FF6"/>
    <w:rsid w:val="007B1C14"/>
    <w:rsid w:val="007B235B"/>
    <w:rsid w:val="007B2FC2"/>
    <w:rsid w:val="007B32EB"/>
    <w:rsid w:val="007B5411"/>
    <w:rsid w:val="007B6EF6"/>
    <w:rsid w:val="007C01EF"/>
    <w:rsid w:val="007C2708"/>
    <w:rsid w:val="007C27B5"/>
    <w:rsid w:val="007C3401"/>
    <w:rsid w:val="007C363A"/>
    <w:rsid w:val="007C53FD"/>
    <w:rsid w:val="007C541F"/>
    <w:rsid w:val="007C70DD"/>
    <w:rsid w:val="007C739B"/>
    <w:rsid w:val="007D14AD"/>
    <w:rsid w:val="007D4472"/>
    <w:rsid w:val="007D5529"/>
    <w:rsid w:val="007D5678"/>
    <w:rsid w:val="007D57EA"/>
    <w:rsid w:val="007D6029"/>
    <w:rsid w:val="007D68A4"/>
    <w:rsid w:val="007D69D2"/>
    <w:rsid w:val="007D7C44"/>
    <w:rsid w:val="007E0649"/>
    <w:rsid w:val="007E072A"/>
    <w:rsid w:val="007E0798"/>
    <w:rsid w:val="007E4214"/>
    <w:rsid w:val="007E4CD7"/>
    <w:rsid w:val="007E59EB"/>
    <w:rsid w:val="007E6386"/>
    <w:rsid w:val="007F0CFA"/>
    <w:rsid w:val="007F1488"/>
    <w:rsid w:val="007F286C"/>
    <w:rsid w:val="007F38DE"/>
    <w:rsid w:val="007F513C"/>
    <w:rsid w:val="007F7495"/>
    <w:rsid w:val="007F767A"/>
    <w:rsid w:val="007F7FCE"/>
    <w:rsid w:val="00801576"/>
    <w:rsid w:val="008036B1"/>
    <w:rsid w:val="00805B59"/>
    <w:rsid w:val="00807B8B"/>
    <w:rsid w:val="00807D78"/>
    <w:rsid w:val="00810FD5"/>
    <w:rsid w:val="00811CF6"/>
    <w:rsid w:val="008145B4"/>
    <w:rsid w:val="00815754"/>
    <w:rsid w:val="00815DAA"/>
    <w:rsid w:val="00816550"/>
    <w:rsid w:val="0081671D"/>
    <w:rsid w:val="00816908"/>
    <w:rsid w:val="00816F0B"/>
    <w:rsid w:val="0082100A"/>
    <w:rsid w:val="00821AF7"/>
    <w:rsid w:val="00821D1B"/>
    <w:rsid w:val="00824427"/>
    <w:rsid w:val="008247E1"/>
    <w:rsid w:val="0082662F"/>
    <w:rsid w:val="00833100"/>
    <w:rsid w:val="0084087C"/>
    <w:rsid w:val="00843E2D"/>
    <w:rsid w:val="0084636E"/>
    <w:rsid w:val="00846BB2"/>
    <w:rsid w:val="008479C9"/>
    <w:rsid w:val="00851B45"/>
    <w:rsid w:val="00852971"/>
    <w:rsid w:val="0085415F"/>
    <w:rsid w:val="008565F5"/>
    <w:rsid w:val="00856CD5"/>
    <w:rsid w:val="00860070"/>
    <w:rsid w:val="00861297"/>
    <w:rsid w:val="00861998"/>
    <w:rsid w:val="008622CF"/>
    <w:rsid w:val="00862A30"/>
    <w:rsid w:val="00864BB9"/>
    <w:rsid w:val="0087061A"/>
    <w:rsid w:val="00871AD6"/>
    <w:rsid w:val="008725CD"/>
    <w:rsid w:val="00872B66"/>
    <w:rsid w:val="008741BE"/>
    <w:rsid w:val="0087508D"/>
    <w:rsid w:val="00875A65"/>
    <w:rsid w:val="00875F07"/>
    <w:rsid w:val="0087654E"/>
    <w:rsid w:val="008814EF"/>
    <w:rsid w:val="008818D7"/>
    <w:rsid w:val="00884BA1"/>
    <w:rsid w:val="008901C0"/>
    <w:rsid w:val="0089048A"/>
    <w:rsid w:val="008912B2"/>
    <w:rsid w:val="0089281C"/>
    <w:rsid w:val="00893E24"/>
    <w:rsid w:val="00896610"/>
    <w:rsid w:val="00896694"/>
    <w:rsid w:val="008A2658"/>
    <w:rsid w:val="008A2DDD"/>
    <w:rsid w:val="008A3D2F"/>
    <w:rsid w:val="008A56D1"/>
    <w:rsid w:val="008A609A"/>
    <w:rsid w:val="008A7A9E"/>
    <w:rsid w:val="008B00DA"/>
    <w:rsid w:val="008B10A9"/>
    <w:rsid w:val="008B19F9"/>
    <w:rsid w:val="008B1CFC"/>
    <w:rsid w:val="008B21E0"/>
    <w:rsid w:val="008B30AA"/>
    <w:rsid w:val="008B4D91"/>
    <w:rsid w:val="008B5D51"/>
    <w:rsid w:val="008B7EE9"/>
    <w:rsid w:val="008C04F9"/>
    <w:rsid w:val="008C12AD"/>
    <w:rsid w:val="008C2018"/>
    <w:rsid w:val="008C2EB3"/>
    <w:rsid w:val="008C3E4E"/>
    <w:rsid w:val="008C4161"/>
    <w:rsid w:val="008C41FB"/>
    <w:rsid w:val="008C58D8"/>
    <w:rsid w:val="008C60E8"/>
    <w:rsid w:val="008C6CBB"/>
    <w:rsid w:val="008C6E32"/>
    <w:rsid w:val="008D08BA"/>
    <w:rsid w:val="008D20B1"/>
    <w:rsid w:val="008D3228"/>
    <w:rsid w:val="008D40CC"/>
    <w:rsid w:val="008D48A9"/>
    <w:rsid w:val="008D4C89"/>
    <w:rsid w:val="008D61BB"/>
    <w:rsid w:val="008D73DA"/>
    <w:rsid w:val="008E084C"/>
    <w:rsid w:val="008E2563"/>
    <w:rsid w:val="008E59AB"/>
    <w:rsid w:val="008E7572"/>
    <w:rsid w:val="008E7B5F"/>
    <w:rsid w:val="008F02F3"/>
    <w:rsid w:val="008F4781"/>
    <w:rsid w:val="008F523D"/>
    <w:rsid w:val="008F5E13"/>
    <w:rsid w:val="008F6616"/>
    <w:rsid w:val="00900277"/>
    <w:rsid w:val="00902985"/>
    <w:rsid w:val="00902D37"/>
    <w:rsid w:val="009030F8"/>
    <w:rsid w:val="00903ACB"/>
    <w:rsid w:val="00903D06"/>
    <w:rsid w:val="00904DBC"/>
    <w:rsid w:val="00912F6B"/>
    <w:rsid w:val="0091317D"/>
    <w:rsid w:val="00913282"/>
    <w:rsid w:val="0091351D"/>
    <w:rsid w:val="00915B3D"/>
    <w:rsid w:val="009202D6"/>
    <w:rsid w:val="00922A8E"/>
    <w:rsid w:val="00925D27"/>
    <w:rsid w:val="00925EB9"/>
    <w:rsid w:val="009261AF"/>
    <w:rsid w:val="00927539"/>
    <w:rsid w:val="00930717"/>
    <w:rsid w:val="009314FB"/>
    <w:rsid w:val="00931B3B"/>
    <w:rsid w:val="00932731"/>
    <w:rsid w:val="00932D41"/>
    <w:rsid w:val="00932D92"/>
    <w:rsid w:val="00933DA0"/>
    <w:rsid w:val="009342AD"/>
    <w:rsid w:val="00936CD5"/>
    <w:rsid w:val="00936F11"/>
    <w:rsid w:val="00936F7A"/>
    <w:rsid w:val="00937555"/>
    <w:rsid w:val="009375B5"/>
    <w:rsid w:val="00937760"/>
    <w:rsid w:val="0094050C"/>
    <w:rsid w:val="00940B0D"/>
    <w:rsid w:val="00941051"/>
    <w:rsid w:val="009417B0"/>
    <w:rsid w:val="00941B32"/>
    <w:rsid w:val="00942247"/>
    <w:rsid w:val="00943B31"/>
    <w:rsid w:val="009448C5"/>
    <w:rsid w:val="00944AC2"/>
    <w:rsid w:val="009463C9"/>
    <w:rsid w:val="00951364"/>
    <w:rsid w:val="00952332"/>
    <w:rsid w:val="009526DC"/>
    <w:rsid w:val="009527AB"/>
    <w:rsid w:val="009559E0"/>
    <w:rsid w:val="009560B6"/>
    <w:rsid w:val="00956309"/>
    <w:rsid w:val="009573FE"/>
    <w:rsid w:val="00962CC2"/>
    <w:rsid w:val="00963628"/>
    <w:rsid w:val="009636CF"/>
    <w:rsid w:val="00964103"/>
    <w:rsid w:val="00964FC7"/>
    <w:rsid w:val="0096636D"/>
    <w:rsid w:val="0096784E"/>
    <w:rsid w:val="00971A71"/>
    <w:rsid w:val="00971D64"/>
    <w:rsid w:val="00975CBA"/>
    <w:rsid w:val="00976A2D"/>
    <w:rsid w:val="0098032C"/>
    <w:rsid w:val="00981A85"/>
    <w:rsid w:val="00982969"/>
    <w:rsid w:val="00982A81"/>
    <w:rsid w:val="00984598"/>
    <w:rsid w:val="00984694"/>
    <w:rsid w:val="00984C7A"/>
    <w:rsid w:val="009904AD"/>
    <w:rsid w:val="00992D8C"/>
    <w:rsid w:val="00993ACB"/>
    <w:rsid w:val="00993CD6"/>
    <w:rsid w:val="00994687"/>
    <w:rsid w:val="00994BF0"/>
    <w:rsid w:val="009953C0"/>
    <w:rsid w:val="00995926"/>
    <w:rsid w:val="00995B17"/>
    <w:rsid w:val="00996050"/>
    <w:rsid w:val="0099789A"/>
    <w:rsid w:val="0099789B"/>
    <w:rsid w:val="009A08C9"/>
    <w:rsid w:val="009A1D2D"/>
    <w:rsid w:val="009A2A8E"/>
    <w:rsid w:val="009A2D1E"/>
    <w:rsid w:val="009A2DC3"/>
    <w:rsid w:val="009A3340"/>
    <w:rsid w:val="009A4A7E"/>
    <w:rsid w:val="009A574E"/>
    <w:rsid w:val="009A73D6"/>
    <w:rsid w:val="009A7A73"/>
    <w:rsid w:val="009B01AC"/>
    <w:rsid w:val="009B02B2"/>
    <w:rsid w:val="009B1A3A"/>
    <w:rsid w:val="009B3FC4"/>
    <w:rsid w:val="009B57C8"/>
    <w:rsid w:val="009B57EF"/>
    <w:rsid w:val="009B6895"/>
    <w:rsid w:val="009B7639"/>
    <w:rsid w:val="009B7A45"/>
    <w:rsid w:val="009C0053"/>
    <w:rsid w:val="009C020F"/>
    <w:rsid w:val="009C0FA2"/>
    <w:rsid w:val="009C1887"/>
    <w:rsid w:val="009C2300"/>
    <w:rsid w:val="009C3C57"/>
    <w:rsid w:val="009C4689"/>
    <w:rsid w:val="009C48B2"/>
    <w:rsid w:val="009C6196"/>
    <w:rsid w:val="009C7DF6"/>
    <w:rsid w:val="009D08FF"/>
    <w:rsid w:val="009D1406"/>
    <w:rsid w:val="009D1561"/>
    <w:rsid w:val="009D5022"/>
    <w:rsid w:val="009D531C"/>
    <w:rsid w:val="009D5995"/>
    <w:rsid w:val="009D6DBD"/>
    <w:rsid w:val="009E20F2"/>
    <w:rsid w:val="009E3018"/>
    <w:rsid w:val="009E3FB7"/>
    <w:rsid w:val="009E5FB8"/>
    <w:rsid w:val="009E7122"/>
    <w:rsid w:val="009E7B45"/>
    <w:rsid w:val="009F1DCE"/>
    <w:rsid w:val="009F2472"/>
    <w:rsid w:val="009F4789"/>
    <w:rsid w:val="009F596B"/>
    <w:rsid w:val="009F597A"/>
    <w:rsid w:val="009F7412"/>
    <w:rsid w:val="009F748C"/>
    <w:rsid w:val="009F7E2B"/>
    <w:rsid w:val="00A00140"/>
    <w:rsid w:val="00A02ADA"/>
    <w:rsid w:val="00A02C27"/>
    <w:rsid w:val="00A04097"/>
    <w:rsid w:val="00A040E2"/>
    <w:rsid w:val="00A04514"/>
    <w:rsid w:val="00A04D5E"/>
    <w:rsid w:val="00A066C1"/>
    <w:rsid w:val="00A06E6E"/>
    <w:rsid w:val="00A10CCB"/>
    <w:rsid w:val="00A114DA"/>
    <w:rsid w:val="00A12EDF"/>
    <w:rsid w:val="00A13181"/>
    <w:rsid w:val="00A134D4"/>
    <w:rsid w:val="00A13D12"/>
    <w:rsid w:val="00A14117"/>
    <w:rsid w:val="00A15CA2"/>
    <w:rsid w:val="00A15E53"/>
    <w:rsid w:val="00A160E5"/>
    <w:rsid w:val="00A17C8D"/>
    <w:rsid w:val="00A2107F"/>
    <w:rsid w:val="00A222CB"/>
    <w:rsid w:val="00A22447"/>
    <w:rsid w:val="00A229C6"/>
    <w:rsid w:val="00A23703"/>
    <w:rsid w:val="00A23DCD"/>
    <w:rsid w:val="00A24C0E"/>
    <w:rsid w:val="00A256E1"/>
    <w:rsid w:val="00A25E16"/>
    <w:rsid w:val="00A25ECA"/>
    <w:rsid w:val="00A270E9"/>
    <w:rsid w:val="00A27A61"/>
    <w:rsid w:val="00A30155"/>
    <w:rsid w:val="00A30675"/>
    <w:rsid w:val="00A31B45"/>
    <w:rsid w:val="00A33454"/>
    <w:rsid w:val="00A34146"/>
    <w:rsid w:val="00A40D64"/>
    <w:rsid w:val="00A423BE"/>
    <w:rsid w:val="00A43611"/>
    <w:rsid w:val="00A454CC"/>
    <w:rsid w:val="00A45795"/>
    <w:rsid w:val="00A4656F"/>
    <w:rsid w:val="00A46E25"/>
    <w:rsid w:val="00A47766"/>
    <w:rsid w:val="00A477A6"/>
    <w:rsid w:val="00A51074"/>
    <w:rsid w:val="00A520DD"/>
    <w:rsid w:val="00A53261"/>
    <w:rsid w:val="00A5354E"/>
    <w:rsid w:val="00A574C6"/>
    <w:rsid w:val="00A60B47"/>
    <w:rsid w:val="00A620AA"/>
    <w:rsid w:val="00A63B21"/>
    <w:rsid w:val="00A64269"/>
    <w:rsid w:val="00A65A27"/>
    <w:rsid w:val="00A703EE"/>
    <w:rsid w:val="00A71A06"/>
    <w:rsid w:val="00A762EF"/>
    <w:rsid w:val="00A8166E"/>
    <w:rsid w:val="00A828AD"/>
    <w:rsid w:val="00A82A30"/>
    <w:rsid w:val="00A83DAD"/>
    <w:rsid w:val="00A8414A"/>
    <w:rsid w:val="00A84AE9"/>
    <w:rsid w:val="00A86381"/>
    <w:rsid w:val="00A87529"/>
    <w:rsid w:val="00A90FE8"/>
    <w:rsid w:val="00A91A5B"/>
    <w:rsid w:val="00A91FC9"/>
    <w:rsid w:val="00A92B35"/>
    <w:rsid w:val="00A95015"/>
    <w:rsid w:val="00A966A8"/>
    <w:rsid w:val="00A96BD5"/>
    <w:rsid w:val="00A97105"/>
    <w:rsid w:val="00AA01DE"/>
    <w:rsid w:val="00AA08D9"/>
    <w:rsid w:val="00AA1781"/>
    <w:rsid w:val="00AA17C5"/>
    <w:rsid w:val="00AA47AB"/>
    <w:rsid w:val="00AA47F3"/>
    <w:rsid w:val="00AA53AE"/>
    <w:rsid w:val="00AA5D32"/>
    <w:rsid w:val="00AA5FDB"/>
    <w:rsid w:val="00AB01B8"/>
    <w:rsid w:val="00AB01CD"/>
    <w:rsid w:val="00AB24EC"/>
    <w:rsid w:val="00AB2E75"/>
    <w:rsid w:val="00AB3505"/>
    <w:rsid w:val="00AB374E"/>
    <w:rsid w:val="00AB5BE4"/>
    <w:rsid w:val="00AB6933"/>
    <w:rsid w:val="00AC1E50"/>
    <w:rsid w:val="00AC2BEE"/>
    <w:rsid w:val="00AC2DEB"/>
    <w:rsid w:val="00AC3862"/>
    <w:rsid w:val="00AC3B04"/>
    <w:rsid w:val="00AC479A"/>
    <w:rsid w:val="00AC6BE9"/>
    <w:rsid w:val="00AD25B1"/>
    <w:rsid w:val="00AD31FA"/>
    <w:rsid w:val="00AD51AB"/>
    <w:rsid w:val="00AD6005"/>
    <w:rsid w:val="00AD6802"/>
    <w:rsid w:val="00AD740D"/>
    <w:rsid w:val="00AE1D48"/>
    <w:rsid w:val="00AE2054"/>
    <w:rsid w:val="00AE2E11"/>
    <w:rsid w:val="00AE2F13"/>
    <w:rsid w:val="00AE6C02"/>
    <w:rsid w:val="00AE75D2"/>
    <w:rsid w:val="00AE761E"/>
    <w:rsid w:val="00AF0BE5"/>
    <w:rsid w:val="00AF1FF1"/>
    <w:rsid w:val="00AF318C"/>
    <w:rsid w:val="00AF56B6"/>
    <w:rsid w:val="00AF7D48"/>
    <w:rsid w:val="00B009F6"/>
    <w:rsid w:val="00B01176"/>
    <w:rsid w:val="00B0157B"/>
    <w:rsid w:val="00B032E7"/>
    <w:rsid w:val="00B117F8"/>
    <w:rsid w:val="00B11988"/>
    <w:rsid w:val="00B13E43"/>
    <w:rsid w:val="00B140E4"/>
    <w:rsid w:val="00B14BD0"/>
    <w:rsid w:val="00B158ED"/>
    <w:rsid w:val="00B167D5"/>
    <w:rsid w:val="00B17081"/>
    <w:rsid w:val="00B17B5E"/>
    <w:rsid w:val="00B200F1"/>
    <w:rsid w:val="00B20213"/>
    <w:rsid w:val="00B21B9B"/>
    <w:rsid w:val="00B245D4"/>
    <w:rsid w:val="00B24C9E"/>
    <w:rsid w:val="00B2539A"/>
    <w:rsid w:val="00B26FB1"/>
    <w:rsid w:val="00B27074"/>
    <w:rsid w:val="00B271B5"/>
    <w:rsid w:val="00B275F0"/>
    <w:rsid w:val="00B306CA"/>
    <w:rsid w:val="00B33BC9"/>
    <w:rsid w:val="00B34221"/>
    <w:rsid w:val="00B35C83"/>
    <w:rsid w:val="00B35D5C"/>
    <w:rsid w:val="00B36D98"/>
    <w:rsid w:val="00B372B9"/>
    <w:rsid w:val="00B40879"/>
    <w:rsid w:val="00B409CB"/>
    <w:rsid w:val="00B417EF"/>
    <w:rsid w:val="00B428F8"/>
    <w:rsid w:val="00B43015"/>
    <w:rsid w:val="00B43320"/>
    <w:rsid w:val="00B44758"/>
    <w:rsid w:val="00B4485E"/>
    <w:rsid w:val="00B44AF8"/>
    <w:rsid w:val="00B4542F"/>
    <w:rsid w:val="00B46646"/>
    <w:rsid w:val="00B46826"/>
    <w:rsid w:val="00B46F0E"/>
    <w:rsid w:val="00B50A12"/>
    <w:rsid w:val="00B52D26"/>
    <w:rsid w:val="00B5459A"/>
    <w:rsid w:val="00B546D0"/>
    <w:rsid w:val="00B601DC"/>
    <w:rsid w:val="00B61BB2"/>
    <w:rsid w:val="00B62CCC"/>
    <w:rsid w:val="00B62DAE"/>
    <w:rsid w:val="00B63A73"/>
    <w:rsid w:val="00B64C56"/>
    <w:rsid w:val="00B6567E"/>
    <w:rsid w:val="00B66A2A"/>
    <w:rsid w:val="00B67582"/>
    <w:rsid w:val="00B7081E"/>
    <w:rsid w:val="00B70ACD"/>
    <w:rsid w:val="00B70AE2"/>
    <w:rsid w:val="00B71A22"/>
    <w:rsid w:val="00B73BE8"/>
    <w:rsid w:val="00B74027"/>
    <w:rsid w:val="00B74082"/>
    <w:rsid w:val="00B745D3"/>
    <w:rsid w:val="00B74728"/>
    <w:rsid w:val="00B765E8"/>
    <w:rsid w:val="00B810A3"/>
    <w:rsid w:val="00B832FA"/>
    <w:rsid w:val="00B8399C"/>
    <w:rsid w:val="00B8489F"/>
    <w:rsid w:val="00B849A9"/>
    <w:rsid w:val="00B8517A"/>
    <w:rsid w:val="00B8576A"/>
    <w:rsid w:val="00B86FB8"/>
    <w:rsid w:val="00B8728A"/>
    <w:rsid w:val="00B87576"/>
    <w:rsid w:val="00B92196"/>
    <w:rsid w:val="00B92208"/>
    <w:rsid w:val="00B92311"/>
    <w:rsid w:val="00B92E98"/>
    <w:rsid w:val="00B93A46"/>
    <w:rsid w:val="00B97160"/>
    <w:rsid w:val="00BA00E1"/>
    <w:rsid w:val="00BA0683"/>
    <w:rsid w:val="00BA2376"/>
    <w:rsid w:val="00BA24E9"/>
    <w:rsid w:val="00BA25BA"/>
    <w:rsid w:val="00BA28DC"/>
    <w:rsid w:val="00BA4007"/>
    <w:rsid w:val="00BA43DE"/>
    <w:rsid w:val="00BA47F6"/>
    <w:rsid w:val="00BA4BA5"/>
    <w:rsid w:val="00BA6D02"/>
    <w:rsid w:val="00BA6F2B"/>
    <w:rsid w:val="00BA7A84"/>
    <w:rsid w:val="00BB2AE8"/>
    <w:rsid w:val="00BB2BC8"/>
    <w:rsid w:val="00BB50E5"/>
    <w:rsid w:val="00BC0692"/>
    <w:rsid w:val="00BC1D43"/>
    <w:rsid w:val="00BC2ED5"/>
    <w:rsid w:val="00BC7E8C"/>
    <w:rsid w:val="00BD01AD"/>
    <w:rsid w:val="00BD0C2D"/>
    <w:rsid w:val="00BD2156"/>
    <w:rsid w:val="00BD4FBF"/>
    <w:rsid w:val="00BE167F"/>
    <w:rsid w:val="00BE26E6"/>
    <w:rsid w:val="00BE328B"/>
    <w:rsid w:val="00BF21FC"/>
    <w:rsid w:val="00BF26E7"/>
    <w:rsid w:val="00BF2B31"/>
    <w:rsid w:val="00BF31C5"/>
    <w:rsid w:val="00BF3D7D"/>
    <w:rsid w:val="00BF5717"/>
    <w:rsid w:val="00BF7444"/>
    <w:rsid w:val="00BF7ECB"/>
    <w:rsid w:val="00C0017B"/>
    <w:rsid w:val="00C026C5"/>
    <w:rsid w:val="00C03C4B"/>
    <w:rsid w:val="00C0452F"/>
    <w:rsid w:val="00C0466D"/>
    <w:rsid w:val="00C05247"/>
    <w:rsid w:val="00C05D1A"/>
    <w:rsid w:val="00C061E5"/>
    <w:rsid w:val="00C062EF"/>
    <w:rsid w:val="00C068E4"/>
    <w:rsid w:val="00C073CB"/>
    <w:rsid w:val="00C104EA"/>
    <w:rsid w:val="00C13428"/>
    <w:rsid w:val="00C135F1"/>
    <w:rsid w:val="00C1394E"/>
    <w:rsid w:val="00C14764"/>
    <w:rsid w:val="00C150A9"/>
    <w:rsid w:val="00C20FF1"/>
    <w:rsid w:val="00C23115"/>
    <w:rsid w:val="00C2355B"/>
    <w:rsid w:val="00C23667"/>
    <w:rsid w:val="00C23A04"/>
    <w:rsid w:val="00C242BD"/>
    <w:rsid w:val="00C25C3A"/>
    <w:rsid w:val="00C26514"/>
    <w:rsid w:val="00C2753D"/>
    <w:rsid w:val="00C307AB"/>
    <w:rsid w:val="00C30996"/>
    <w:rsid w:val="00C317F8"/>
    <w:rsid w:val="00C330B4"/>
    <w:rsid w:val="00C34141"/>
    <w:rsid w:val="00C34FF6"/>
    <w:rsid w:val="00C35876"/>
    <w:rsid w:val="00C361C8"/>
    <w:rsid w:val="00C3620A"/>
    <w:rsid w:val="00C3621D"/>
    <w:rsid w:val="00C3701E"/>
    <w:rsid w:val="00C3730D"/>
    <w:rsid w:val="00C413FB"/>
    <w:rsid w:val="00C41A11"/>
    <w:rsid w:val="00C42481"/>
    <w:rsid w:val="00C43CED"/>
    <w:rsid w:val="00C44B2B"/>
    <w:rsid w:val="00C44CAB"/>
    <w:rsid w:val="00C45641"/>
    <w:rsid w:val="00C45942"/>
    <w:rsid w:val="00C46976"/>
    <w:rsid w:val="00C46BE2"/>
    <w:rsid w:val="00C46E0A"/>
    <w:rsid w:val="00C50892"/>
    <w:rsid w:val="00C51353"/>
    <w:rsid w:val="00C5206A"/>
    <w:rsid w:val="00C5380A"/>
    <w:rsid w:val="00C544D4"/>
    <w:rsid w:val="00C552A0"/>
    <w:rsid w:val="00C559FF"/>
    <w:rsid w:val="00C562AB"/>
    <w:rsid w:val="00C5686C"/>
    <w:rsid w:val="00C57BB0"/>
    <w:rsid w:val="00C60424"/>
    <w:rsid w:val="00C616F5"/>
    <w:rsid w:val="00C659BB"/>
    <w:rsid w:val="00C65DF2"/>
    <w:rsid w:val="00C67599"/>
    <w:rsid w:val="00C67EA6"/>
    <w:rsid w:val="00C70550"/>
    <w:rsid w:val="00C70FA5"/>
    <w:rsid w:val="00C71949"/>
    <w:rsid w:val="00C736C7"/>
    <w:rsid w:val="00C74597"/>
    <w:rsid w:val="00C74820"/>
    <w:rsid w:val="00C74FC4"/>
    <w:rsid w:val="00C77998"/>
    <w:rsid w:val="00C80CAC"/>
    <w:rsid w:val="00C80E63"/>
    <w:rsid w:val="00C81A52"/>
    <w:rsid w:val="00C82199"/>
    <w:rsid w:val="00C831C6"/>
    <w:rsid w:val="00C83806"/>
    <w:rsid w:val="00C84213"/>
    <w:rsid w:val="00C850F0"/>
    <w:rsid w:val="00C85915"/>
    <w:rsid w:val="00C86F5C"/>
    <w:rsid w:val="00C872B5"/>
    <w:rsid w:val="00C87471"/>
    <w:rsid w:val="00C9217B"/>
    <w:rsid w:val="00C94D92"/>
    <w:rsid w:val="00C95293"/>
    <w:rsid w:val="00C95DBE"/>
    <w:rsid w:val="00C96A34"/>
    <w:rsid w:val="00C96E9C"/>
    <w:rsid w:val="00CA0DBD"/>
    <w:rsid w:val="00CA2994"/>
    <w:rsid w:val="00CA60CF"/>
    <w:rsid w:val="00CB11CC"/>
    <w:rsid w:val="00CB1BC4"/>
    <w:rsid w:val="00CB2071"/>
    <w:rsid w:val="00CB2E1D"/>
    <w:rsid w:val="00CC0EBF"/>
    <w:rsid w:val="00CC103A"/>
    <w:rsid w:val="00CC14B1"/>
    <w:rsid w:val="00CC1580"/>
    <w:rsid w:val="00CC25EB"/>
    <w:rsid w:val="00CC25FD"/>
    <w:rsid w:val="00CC2884"/>
    <w:rsid w:val="00CC404C"/>
    <w:rsid w:val="00CC4349"/>
    <w:rsid w:val="00CD4AC4"/>
    <w:rsid w:val="00CD52C7"/>
    <w:rsid w:val="00CD6077"/>
    <w:rsid w:val="00CE0BF7"/>
    <w:rsid w:val="00CE0F50"/>
    <w:rsid w:val="00CE22F4"/>
    <w:rsid w:val="00CE7D55"/>
    <w:rsid w:val="00CF07BD"/>
    <w:rsid w:val="00CF1121"/>
    <w:rsid w:val="00CF15DF"/>
    <w:rsid w:val="00CF1B59"/>
    <w:rsid w:val="00CF2E54"/>
    <w:rsid w:val="00CF39D9"/>
    <w:rsid w:val="00CF62E0"/>
    <w:rsid w:val="00CF75DC"/>
    <w:rsid w:val="00CF7969"/>
    <w:rsid w:val="00CF7F2A"/>
    <w:rsid w:val="00D0219B"/>
    <w:rsid w:val="00D046EC"/>
    <w:rsid w:val="00D0540A"/>
    <w:rsid w:val="00D05939"/>
    <w:rsid w:val="00D05AD0"/>
    <w:rsid w:val="00D06009"/>
    <w:rsid w:val="00D06A14"/>
    <w:rsid w:val="00D07E76"/>
    <w:rsid w:val="00D105B5"/>
    <w:rsid w:val="00D10869"/>
    <w:rsid w:val="00D140DB"/>
    <w:rsid w:val="00D159DC"/>
    <w:rsid w:val="00D15E42"/>
    <w:rsid w:val="00D16038"/>
    <w:rsid w:val="00D16556"/>
    <w:rsid w:val="00D16AE6"/>
    <w:rsid w:val="00D205DE"/>
    <w:rsid w:val="00D22111"/>
    <w:rsid w:val="00D23401"/>
    <w:rsid w:val="00D24410"/>
    <w:rsid w:val="00D26123"/>
    <w:rsid w:val="00D26688"/>
    <w:rsid w:val="00D270CC"/>
    <w:rsid w:val="00D27F36"/>
    <w:rsid w:val="00D30816"/>
    <w:rsid w:val="00D3092F"/>
    <w:rsid w:val="00D31EFD"/>
    <w:rsid w:val="00D3359D"/>
    <w:rsid w:val="00D34B5E"/>
    <w:rsid w:val="00D34D8C"/>
    <w:rsid w:val="00D412C3"/>
    <w:rsid w:val="00D45599"/>
    <w:rsid w:val="00D46A3B"/>
    <w:rsid w:val="00D46BB4"/>
    <w:rsid w:val="00D47B54"/>
    <w:rsid w:val="00D50633"/>
    <w:rsid w:val="00D50B59"/>
    <w:rsid w:val="00D50B95"/>
    <w:rsid w:val="00D552B2"/>
    <w:rsid w:val="00D55982"/>
    <w:rsid w:val="00D56CD9"/>
    <w:rsid w:val="00D60E84"/>
    <w:rsid w:val="00D611D6"/>
    <w:rsid w:val="00D61FB4"/>
    <w:rsid w:val="00D62B93"/>
    <w:rsid w:val="00D631E6"/>
    <w:rsid w:val="00D66503"/>
    <w:rsid w:val="00D6735C"/>
    <w:rsid w:val="00D67933"/>
    <w:rsid w:val="00D70D2C"/>
    <w:rsid w:val="00D725A1"/>
    <w:rsid w:val="00D72E36"/>
    <w:rsid w:val="00D77F1E"/>
    <w:rsid w:val="00D806E3"/>
    <w:rsid w:val="00D80A63"/>
    <w:rsid w:val="00D819F0"/>
    <w:rsid w:val="00D81B7C"/>
    <w:rsid w:val="00D81D20"/>
    <w:rsid w:val="00D83903"/>
    <w:rsid w:val="00D84C29"/>
    <w:rsid w:val="00D86834"/>
    <w:rsid w:val="00D86A7C"/>
    <w:rsid w:val="00D87BB5"/>
    <w:rsid w:val="00D91465"/>
    <w:rsid w:val="00D914BC"/>
    <w:rsid w:val="00D925E3"/>
    <w:rsid w:val="00D931BE"/>
    <w:rsid w:val="00D9368A"/>
    <w:rsid w:val="00D94A56"/>
    <w:rsid w:val="00DA0EA3"/>
    <w:rsid w:val="00DA3154"/>
    <w:rsid w:val="00DA5592"/>
    <w:rsid w:val="00DA5BDB"/>
    <w:rsid w:val="00DA6CEF"/>
    <w:rsid w:val="00DB0551"/>
    <w:rsid w:val="00DB06F6"/>
    <w:rsid w:val="00DB0AE4"/>
    <w:rsid w:val="00DB46C2"/>
    <w:rsid w:val="00DB498F"/>
    <w:rsid w:val="00DB5168"/>
    <w:rsid w:val="00DB726C"/>
    <w:rsid w:val="00DC0078"/>
    <w:rsid w:val="00DC0385"/>
    <w:rsid w:val="00DC1D44"/>
    <w:rsid w:val="00DC32A5"/>
    <w:rsid w:val="00DC5099"/>
    <w:rsid w:val="00DC5735"/>
    <w:rsid w:val="00DC5876"/>
    <w:rsid w:val="00DC5A4E"/>
    <w:rsid w:val="00DC6EB2"/>
    <w:rsid w:val="00DC7105"/>
    <w:rsid w:val="00DC74D9"/>
    <w:rsid w:val="00DD485C"/>
    <w:rsid w:val="00DD505D"/>
    <w:rsid w:val="00DD556B"/>
    <w:rsid w:val="00DD69D1"/>
    <w:rsid w:val="00DD6A28"/>
    <w:rsid w:val="00DE0587"/>
    <w:rsid w:val="00DE0927"/>
    <w:rsid w:val="00DE1003"/>
    <w:rsid w:val="00DE1BA0"/>
    <w:rsid w:val="00DE3168"/>
    <w:rsid w:val="00DE64C5"/>
    <w:rsid w:val="00DE6727"/>
    <w:rsid w:val="00DE77F2"/>
    <w:rsid w:val="00DE7EF0"/>
    <w:rsid w:val="00DE7F16"/>
    <w:rsid w:val="00DF00C9"/>
    <w:rsid w:val="00DF01D6"/>
    <w:rsid w:val="00DF1431"/>
    <w:rsid w:val="00DF27A0"/>
    <w:rsid w:val="00DF2B0F"/>
    <w:rsid w:val="00DF65E7"/>
    <w:rsid w:val="00E0291A"/>
    <w:rsid w:val="00E043E9"/>
    <w:rsid w:val="00E0608B"/>
    <w:rsid w:val="00E1150F"/>
    <w:rsid w:val="00E137E1"/>
    <w:rsid w:val="00E1462F"/>
    <w:rsid w:val="00E16055"/>
    <w:rsid w:val="00E164D1"/>
    <w:rsid w:val="00E17670"/>
    <w:rsid w:val="00E17A9B"/>
    <w:rsid w:val="00E2082A"/>
    <w:rsid w:val="00E214E6"/>
    <w:rsid w:val="00E21F95"/>
    <w:rsid w:val="00E22516"/>
    <w:rsid w:val="00E23045"/>
    <w:rsid w:val="00E23577"/>
    <w:rsid w:val="00E238CE"/>
    <w:rsid w:val="00E322B3"/>
    <w:rsid w:val="00E3406F"/>
    <w:rsid w:val="00E34E59"/>
    <w:rsid w:val="00E35B46"/>
    <w:rsid w:val="00E36F7B"/>
    <w:rsid w:val="00E407C7"/>
    <w:rsid w:val="00E40DC0"/>
    <w:rsid w:val="00E4144B"/>
    <w:rsid w:val="00E418C5"/>
    <w:rsid w:val="00E41D5C"/>
    <w:rsid w:val="00E41FA1"/>
    <w:rsid w:val="00E425A8"/>
    <w:rsid w:val="00E4358C"/>
    <w:rsid w:val="00E4366D"/>
    <w:rsid w:val="00E44022"/>
    <w:rsid w:val="00E4532E"/>
    <w:rsid w:val="00E46075"/>
    <w:rsid w:val="00E47668"/>
    <w:rsid w:val="00E50FB9"/>
    <w:rsid w:val="00E5222C"/>
    <w:rsid w:val="00E5598A"/>
    <w:rsid w:val="00E600D8"/>
    <w:rsid w:val="00E6031F"/>
    <w:rsid w:val="00E6060A"/>
    <w:rsid w:val="00E61369"/>
    <w:rsid w:val="00E615F2"/>
    <w:rsid w:val="00E62668"/>
    <w:rsid w:val="00E6368D"/>
    <w:rsid w:val="00E650B2"/>
    <w:rsid w:val="00E65D5F"/>
    <w:rsid w:val="00E669D5"/>
    <w:rsid w:val="00E673DD"/>
    <w:rsid w:val="00E7056D"/>
    <w:rsid w:val="00E70621"/>
    <w:rsid w:val="00E70AA5"/>
    <w:rsid w:val="00E71C7A"/>
    <w:rsid w:val="00E72BE7"/>
    <w:rsid w:val="00E75871"/>
    <w:rsid w:val="00E75E29"/>
    <w:rsid w:val="00E8011B"/>
    <w:rsid w:val="00E80B38"/>
    <w:rsid w:val="00E82F28"/>
    <w:rsid w:val="00E85312"/>
    <w:rsid w:val="00E86042"/>
    <w:rsid w:val="00E865ED"/>
    <w:rsid w:val="00E86699"/>
    <w:rsid w:val="00E8786B"/>
    <w:rsid w:val="00E92564"/>
    <w:rsid w:val="00E92795"/>
    <w:rsid w:val="00E9333F"/>
    <w:rsid w:val="00E93900"/>
    <w:rsid w:val="00E9562B"/>
    <w:rsid w:val="00E96232"/>
    <w:rsid w:val="00EA1768"/>
    <w:rsid w:val="00EA178C"/>
    <w:rsid w:val="00EA21A1"/>
    <w:rsid w:val="00EA3FDE"/>
    <w:rsid w:val="00EB1FB9"/>
    <w:rsid w:val="00EB4110"/>
    <w:rsid w:val="00EB418F"/>
    <w:rsid w:val="00EB4740"/>
    <w:rsid w:val="00EB6D4D"/>
    <w:rsid w:val="00EB76C3"/>
    <w:rsid w:val="00EB7FF5"/>
    <w:rsid w:val="00EC008C"/>
    <w:rsid w:val="00EC0D2F"/>
    <w:rsid w:val="00EC40F3"/>
    <w:rsid w:val="00EC44AF"/>
    <w:rsid w:val="00EC5D27"/>
    <w:rsid w:val="00EC64A0"/>
    <w:rsid w:val="00EC79C9"/>
    <w:rsid w:val="00ED2673"/>
    <w:rsid w:val="00ED52C9"/>
    <w:rsid w:val="00ED571A"/>
    <w:rsid w:val="00ED584E"/>
    <w:rsid w:val="00ED5E4C"/>
    <w:rsid w:val="00ED7537"/>
    <w:rsid w:val="00ED7F5A"/>
    <w:rsid w:val="00EE1586"/>
    <w:rsid w:val="00EE3C96"/>
    <w:rsid w:val="00EE4F50"/>
    <w:rsid w:val="00EE5A55"/>
    <w:rsid w:val="00EE6701"/>
    <w:rsid w:val="00EE7039"/>
    <w:rsid w:val="00EF0EF5"/>
    <w:rsid w:val="00EF1D43"/>
    <w:rsid w:val="00EF2985"/>
    <w:rsid w:val="00EF2A69"/>
    <w:rsid w:val="00EF3321"/>
    <w:rsid w:val="00EF43D6"/>
    <w:rsid w:val="00EF4B7F"/>
    <w:rsid w:val="00EF4E29"/>
    <w:rsid w:val="00EF51FB"/>
    <w:rsid w:val="00EF749D"/>
    <w:rsid w:val="00F0163D"/>
    <w:rsid w:val="00F02071"/>
    <w:rsid w:val="00F02172"/>
    <w:rsid w:val="00F048C3"/>
    <w:rsid w:val="00F102D1"/>
    <w:rsid w:val="00F12ADD"/>
    <w:rsid w:val="00F13855"/>
    <w:rsid w:val="00F1722D"/>
    <w:rsid w:val="00F1726A"/>
    <w:rsid w:val="00F2040E"/>
    <w:rsid w:val="00F22787"/>
    <w:rsid w:val="00F23BCD"/>
    <w:rsid w:val="00F24042"/>
    <w:rsid w:val="00F2436E"/>
    <w:rsid w:val="00F274DE"/>
    <w:rsid w:val="00F31918"/>
    <w:rsid w:val="00F33A6F"/>
    <w:rsid w:val="00F366FC"/>
    <w:rsid w:val="00F4003D"/>
    <w:rsid w:val="00F40AB0"/>
    <w:rsid w:val="00F423C8"/>
    <w:rsid w:val="00F432C3"/>
    <w:rsid w:val="00F443ED"/>
    <w:rsid w:val="00F45094"/>
    <w:rsid w:val="00F45859"/>
    <w:rsid w:val="00F472A5"/>
    <w:rsid w:val="00F508F5"/>
    <w:rsid w:val="00F50B28"/>
    <w:rsid w:val="00F533B0"/>
    <w:rsid w:val="00F55489"/>
    <w:rsid w:val="00F56196"/>
    <w:rsid w:val="00F568F0"/>
    <w:rsid w:val="00F578C7"/>
    <w:rsid w:val="00F57F6D"/>
    <w:rsid w:val="00F604FE"/>
    <w:rsid w:val="00F60647"/>
    <w:rsid w:val="00F6189E"/>
    <w:rsid w:val="00F634E4"/>
    <w:rsid w:val="00F64463"/>
    <w:rsid w:val="00F65236"/>
    <w:rsid w:val="00F67E11"/>
    <w:rsid w:val="00F7231E"/>
    <w:rsid w:val="00F73CD1"/>
    <w:rsid w:val="00F73D0E"/>
    <w:rsid w:val="00F74125"/>
    <w:rsid w:val="00F74DF4"/>
    <w:rsid w:val="00F76604"/>
    <w:rsid w:val="00F7665C"/>
    <w:rsid w:val="00F76A32"/>
    <w:rsid w:val="00F82351"/>
    <w:rsid w:val="00F82C49"/>
    <w:rsid w:val="00F84051"/>
    <w:rsid w:val="00F84978"/>
    <w:rsid w:val="00F8583B"/>
    <w:rsid w:val="00F8666B"/>
    <w:rsid w:val="00F87946"/>
    <w:rsid w:val="00F902A3"/>
    <w:rsid w:val="00F91B6E"/>
    <w:rsid w:val="00F91DFD"/>
    <w:rsid w:val="00F9263B"/>
    <w:rsid w:val="00F9361B"/>
    <w:rsid w:val="00F93EA4"/>
    <w:rsid w:val="00F9422A"/>
    <w:rsid w:val="00F9546F"/>
    <w:rsid w:val="00F95AD8"/>
    <w:rsid w:val="00F9764F"/>
    <w:rsid w:val="00FA6D20"/>
    <w:rsid w:val="00FB0801"/>
    <w:rsid w:val="00FB0C2C"/>
    <w:rsid w:val="00FB205F"/>
    <w:rsid w:val="00FB3BF6"/>
    <w:rsid w:val="00FB3FBE"/>
    <w:rsid w:val="00FB46CB"/>
    <w:rsid w:val="00FB63E0"/>
    <w:rsid w:val="00FB6C89"/>
    <w:rsid w:val="00FC009C"/>
    <w:rsid w:val="00FC45DA"/>
    <w:rsid w:val="00FC5EFB"/>
    <w:rsid w:val="00FC69F8"/>
    <w:rsid w:val="00FC7C96"/>
    <w:rsid w:val="00FD016C"/>
    <w:rsid w:val="00FD428A"/>
    <w:rsid w:val="00FD5944"/>
    <w:rsid w:val="00FD7285"/>
    <w:rsid w:val="00FE0FED"/>
    <w:rsid w:val="00FE26D5"/>
    <w:rsid w:val="00FF24A7"/>
    <w:rsid w:val="00FF315E"/>
    <w:rsid w:val="00FF5E11"/>
    <w:rsid w:val="00FF6550"/>
    <w:rsid w:val="010334BC"/>
    <w:rsid w:val="011B4CC3"/>
    <w:rsid w:val="021D04ED"/>
    <w:rsid w:val="02354141"/>
    <w:rsid w:val="023A7176"/>
    <w:rsid w:val="024F7A47"/>
    <w:rsid w:val="028A306D"/>
    <w:rsid w:val="02C86375"/>
    <w:rsid w:val="0302530C"/>
    <w:rsid w:val="03D43EA5"/>
    <w:rsid w:val="044C700C"/>
    <w:rsid w:val="04790EE6"/>
    <w:rsid w:val="04845C9C"/>
    <w:rsid w:val="04A24DA6"/>
    <w:rsid w:val="04DA2989"/>
    <w:rsid w:val="04E61A73"/>
    <w:rsid w:val="052434C3"/>
    <w:rsid w:val="05533927"/>
    <w:rsid w:val="058110D7"/>
    <w:rsid w:val="0599571D"/>
    <w:rsid w:val="05FB2C02"/>
    <w:rsid w:val="060C4B01"/>
    <w:rsid w:val="06416DF6"/>
    <w:rsid w:val="067E4070"/>
    <w:rsid w:val="06D332AD"/>
    <w:rsid w:val="06E54319"/>
    <w:rsid w:val="06EE384A"/>
    <w:rsid w:val="071C5AD8"/>
    <w:rsid w:val="07437EB5"/>
    <w:rsid w:val="083144AD"/>
    <w:rsid w:val="08646246"/>
    <w:rsid w:val="0997668A"/>
    <w:rsid w:val="09A26B70"/>
    <w:rsid w:val="0A483A59"/>
    <w:rsid w:val="0B297373"/>
    <w:rsid w:val="0B60735C"/>
    <w:rsid w:val="0B6A4576"/>
    <w:rsid w:val="0B9147D8"/>
    <w:rsid w:val="0C8F26FF"/>
    <w:rsid w:val="0D006289"/>
    <w:rsid w:val="0DA779A7"/>
    <w:rsid w:val="0DAC2142"/>
    <w:rsid w:val="0DBA3564"/>
    <w:rsid w:val="0DF52BE0"/>
    <w:rsid w:val="0E1C6D3A"/>
    <w:rsid w:val="0E1F05C1"/>
    <w:rsid w:val="0E83674F"/>
    <w:rsid w:val="0ECC7EA4"/>
    <w:rsid w:val="0F24387D"/>
    <w:rsid w:val="0F6B53B0"/>
    <w:rsid w:val="0FC91CD6"/>
    <w:rsid w:val="0FD23D2C"/>
    <w:rsid w:val="0FD7737D"/>
    <w:rsid w:val="0FE73EE9"/>
    <w:rsid w:val="0FFE1132"/>
    <w:rsid w:val="102A4E69"/>
    <w:rsid w:val="109D7E85"/>
    <w:rsid w:val="11A17807"/>
    <w:rsid w:val="11E420C1"/>
    <w:rsid w:val="12330E37"/>
    <w:rsid w:val="12977533"/>
    <w:rsid w:val="130924E3"/>
    <w:rsid w:val="13100823"/>
    <w:rsid w:val="133152BA"/>
    <w:rsid w:val="134B524B"/>
    <w:rsid w:val="136107A9"/>
    <w:rsid w:val="138629C2"/>
    <w:rsid w:val="1392052B"/>
    <w:rsid w:val="141B10F1"/>
    <w:rsid w:val="14823A3B"/>
    <w:rsid w:val="14832D97"/>
    <w:rsid w:val="14E743D2"/>
    <w:rsid w:val="14E87EB7"/>
    <w:rsid w:val="1502523A"/>
    <w:rsid w:val="15176BB9"/>
    <w:rsid w:val="15A738B8"/>
    <w:rsid w:val="15B0333C"/>
    <w:rsid w:val="16082DEA"/>
    <w:rsid w:val="16126325"/>
    <w:rsid w:val="16E66CA8"/>
    <w:rsid w:val="17A6420E"/>
    <w:rsid w:val="17E43AEB"/>
    <w:rsid w:val="17FF7D86"/>
    <w:rsid w:val="183C7CD3"/>
    <w:rsid w:val="193207A3"/>
    <w:rsid w:val="19AE6CB8"/>
    <w:rsid w:val="19B01ABA"/>
    <w:rsid w:val="1A22408A"/>
    <w:rsid w:val="1A380252"/>
    <w:rsid w:val="1AD57201"/>
    <w:rsid w:val="1AE65965"/>
    <w:rsid w:val="1B947EE8"/>
    <w:rsid w:val="1D825A9C"/>
    <w:rsid w:val="1D8D4817"/>
    <w:rsid w:val="1D977D79"/>
    <w:rsid w:val="1DDEE2D5"/>
    <w:rsid w:val="1E445D86"/>
    <w:rsid w:val="1E794449"/>
    <w:rsid w:val="1ECC70CB"/>
    <w:rsid w:val="1EE43EEA"/>
    <w:rsid w:val="1F5D0644"/>
    <w:rsid w:val="1F7A4E57"/>
    <w:rsid w:val="1F8C1424"/>
    <w:rsid w:val="1FD61AEF"/>
    <w:rsid w:val="1FFC0F17"/>
    <w:rsid w:val="20173082"/>
    <w:rsid w:val="206F6743"/>
    <w:rsid w:val="214C3373"/>
    <w:rsid w:val="21B05A61"/>
    <w:rsid w:val="21B82692"/>
    <w:rsid w:val="22611EDC"/>
    <w:rsid w:val="229E287D"/>
    <w:rsid w:val="235F0D34"/>
    <w:rsid w:val="239947F5"/>
    <w:rsid w:val="23A02C57"/>
    <w:rsid w:val="2420395C"/>
    <w:rsid w:val="243718DC"/>
    <w:rsid w:val="24F42C33"/>
    <w:rsid w:val="24FD1D8D"/>
    <w:rsid w:val="250A48FE"/>
    <w:rsid w:val="251047EB"/>
    <w:rsid w:val="252E4CA8"/>
    <w:rsid w:val="253C778D"/>
    <w:rsid w:val="254000FB"/>
    <w:rsid w:val="25657F0F"/>
    <w:rsid w:val="256C0CC0"/>
    <w:rsid w:val="25792694"/>
    <w:rsid w:val="25DA668B"/>
    <w:rsid w:val="25DB12A2"/>
    <w:rsid w:val="25E06719"/>
    <w:rsid w:val="27FC457D"/>
    <w:rsid w:val="28522C83"/>
    <w:rsid w:val="28CC2408"/>
    <w:rsid w:val="28FA0D5C"/>
    <w:rsid w:val="29116E0F"/>
    <w:rsid w:val="291A2200"/>
    <w:rsid w:val="2935480F"/>
    <w:rsid w:val="297D524A"/>
    <w:rsid w:val="29E62984"/>
    <w:rsid w:val="2A8064B1"/>
    <w:rsid w:val="2B703EF5"/>
    <w:rsid w:val="2B8A5202"/>
    <w:rsid w:val="2BF9136D"/>
    <w:rsid w:val="2C045199"/>
    <w:rsid w:val="2C6F7EDA"/>
    <w:rsid w:val="2CA86A82"/>
    <w:rsid w:val="2CD91A35"/>
    <w:rsid w:val="2D206C7A"/>
    <w:rsid w:val="2DA52FC1"/>
    <w:rsid w:val="2DDA2FD0"/>
    <w:rsid w:val="2DF1043D"/>
    <w:rsid w:val="2E6F6FFB"/>
    <w:rsid w:val="2E8C17E5"/>
    <w:rsid w:val="2E970985"/>
    <w:rsid w:val="2EE34A67"/>
    <w:rsid w:val="2F115584"/>
    <w:rsid w:val="2FAB1EA4"/>
    <w:rsid w:val="2FAD1A17"/>
    <w:rsid w:val="2FE465F8"/>
    <w:rsid w:val="30306884"/>
    <w:rsid w:val="30D37396"/>
    <w:rsid w:val="31A23D18"/>
    <w:rsid w:val="31AD7918"/>
    <w:rsid w:val="32926237"/>
    <w:rsid w:val="32EA07E4"/>
    <w:rsid w:val="34F876B8"/>
    <w:rsid w:val="350E582E"/>
    <w:rsid w:val="353C6994"/>
    <w:rsid w:val="356A0F88"/>
    <w:rsid w:val="36A33262"/>
    <w:rsid w:val="36BF5F72"/>
    <w:rsid w:val="36EC443D"/>
    <w:rsid w:val="37050949"/>
    <w:rsid w:val="37082BAB"/>
    <w:rsid w:val="376D2658"/>
    <w:rsid w:val="37B46C94"/>
    <w:rsid w:val="37DD1A52"/>
    <w:rsid w:val="38AD4266"/>
    <w:rsid w:val="39487EF3"/>
    <w:rsid w:val="3AC21656"/>
    <w:rsid w:val="3AFB7F55"/>
    <w:rsid w:val="3B2D66AD"/>
    <w:rsid w:val="3B3370E5"/>
    <w:rsid w:val="3C005BA5"/>
    <w:rsid w:val="3CBD5FDD"/>
    <w:rsid w:val="3DB90EDD"/>
    <w:rsid w:val="3DF27A2B"/>
    <w:rsid w:val="3E24485E"/>
    <w:rsid w:val="3E366DA3"/>
    <w:rsid w:val="3E6D3687"/>
    <w:rsid w:val="3EE641F8"/>
    <w:rsid w:val="3F7A460C"/>
    <w:rsid w:val="4020339F"/>
    <w:rsid w:val="40285E14"/>
    <w:rsid w:val="404A33D2"/>
    <w:rsid w:val="407575CC"/>
    <w:rsid w:val="410015B7"/>
    <w:rsid w:val="413C4906"/>
    <w:rsid w:val="415979EC"/>
    <w:rsid w:val="415A51D7"/>
    <w:rsid w:val="4188424D"/>
    <w:rsid w:val="41EA7416"/>
    <w:rsid w:val="41F0513A"/>
    <w:rsid w:val="42022217"/>
    <w:rsid w:val="439C2E77"/>
    <w:rsid w:val="43D73434"/>
    <w:rsid w:val="43E977AD"/>
    <w:rsid w:val="44290050"/>
    <w:rsid w:val="4447497A"/>
    <w:rsid w:val="444C4B97"/>
    <w:rsid w:val="44583DC0"/>
    <w:rsid w:val="44E96E98"/>
    <w:rsid w:val="45430B75"/>
    <w:rsid w:val="45487568"/>
    <w:rsid w:val="4549395D"/>
    <w:rsid w:val="457A3196"/>
    <w:rsid w:val="45D00A5D"/>
    <w:rsid w:val="45D8385A"/>
    <w:rsid w:val="4682613E"/>
    <w:rsid w:val="46B34D51"/>
    <w:rsid w:val="46E91D19"/>
    <w:rsid w:val="478C697A"/>
    <w:rsid w:val="47C175CD"/>
    <w:rsid w:val="47E90A66"/>
    <w:rsid w:val="482936BE"/>
    <w:rsid w:val="484065B1"/>
    <w:rsid w:val="487445DB"/>
    <w:rsid w:val="493F1276"/>
    <w:rsid w:val="49E00E2B"/>
    <w:rsid w:val="4AE57B32"/>
    <w:rsid w:val="4AEC2742"/>
    <w:rsid w:val="4B9D2091"/>
    <w:rsid w:val="4B9D2E14"/>
    <w:rsid w:val="4BA61079"/>
    <w:rsid w:val="4BB91C85"/>
    <w:rsid w:val="4C2B4B13"/>
    <w:rsid w:val="4C372EB9"/>
    <w:rsid w:val="4C503B63"/>
    <w:rsid w:val="4C71530B"/>
    <w:rsid w:val="4C752385"/>
    <w:rsid w:val="4C7622A1"/>
    <w:rsid w:val="4D043EF0"/>
    <w:rsid w:val="4D3F1C1D"/>
    <w:rsid w:val="4D5A0C97"/>
    <w:rsid w:val="4DBE1610"/>
    <w:rsid w:val="4DF3382C"/>
    <w:rsid w:val="4E05272E"/>
    <w:rsid w:val="4E607576"/>
    <w:rsid w:val="4E9502C8"/>
    <w:rsid w:val="4EB677EC"/>
    <w:rsid w:val="4ECE6451"/>
    <w:rsid w:val="4F881291"/>
    <w:rsid w:val="5017782C"/>
    <w:rsid w:val="506276F0"/>
    <w:rsid w:val="507A50E0"/>
    <w:rsid w:val="507B1BED"/>
    <w:rsid w:val="50940E0D"/>
    <w:rsid w:val="50B470EE"/>
    <w:rsid w:val="50B909AE"/>
    <w:rsid w:val="50C15F9C"/>
    <w:rsid w:val="511630A7"/>
    <w:rsid w:val="51446361"/>
    <w:rsid w:val="514F3E60"/>
    <w:rsid w:val="517709D2"/>
    <w:rsid w:val="51D152FD"/>
    <w:rsid w:val="51EB11CD"/>
    <w:rsid w:val="523A0571"/>
    <w:rsid w:val="52AB40D5"/>
    <w:rsid w:val="52C0083C"/>
    <w:rsid w:val="53004C0D"/>
    <w:rsid w:val="532E4887"/>
    <w:rsid w:val="5399431D"/>
    <w:rsid w:val="53C11762"/>
    <w:rsid w:val="53ED02DD"/>
    <w:rsid w:val="5468134D"/>
    <w:rsid w:val="547A2429"/>
    <w:rsid w:val="54D27E44"/>
    <w:rsid w:val="54EA00C8"/>
    <w:rsid w:val="555D2250"/>
    <w:rsid w:val="556F5931"/>
    <w:rsid w:val="55A84374"/>
    <w:rsid w:val="55C66EBE"/>
    <w:rsid w:val="562F0D84"/>
    <w:rsid w:val="56A22BC4"/>
    <w:rsid w:val="576F5EFA"/>
    <w:rsid w:val="583A07C9"/>
    <w:rsid w:val="583C0C83"/>
    <w:rsid w:val="58B27A29"/>
    <w:rsid w:val="58B46200"/>
    <w:rsid w:val="58C85D03"/>
    <w:rsid w:val="598323D0"/>
    <w:rsid w:val="59A738C9"/>
    <w:rsid w:val="59ED31D0"/>
    <w:rsid w:val="59F535F4"/>
    <w:rsid w:val="59F719A4"/>
    <w:rsid w:val="5A1A4597"/>
    <w:rsid w:val="5A3E40F6"/>
    <w:rsid w:val="5A5D1E8C"/>
    <w:rsid w:val="5A603866"/>
    <w:rsid w:val="5AC41BDC"/>
    <w:rsid w:val="5AD0294E"/>
    <w:rsid w:val="5ADB63F6"/>
    <w:rsid w:val="5AFE68BE"/>
    <w:rsid w:val="5B411CCC"/>
    <w:rsid w:val="5B86045C"/>
    <w:rsid w:val="5BD9669A"/>
    <w:rsid w:val="5C2C6D6C"/>
    <w:rsid w:val="5C2E4C50"/>
    <w:rsid w:val="5CA42512"/>
    <w:rsid w:val="5CB01F0A"/>
    <w:rsid w:val="5CEC0760"/>
    <w:rsid w:val="5D17399F"/>
    <w:rsid w:val="5D3D6151"/>
    <w:rsid w:val="5D56433F"/>
    <w:rsid w:val="5D904B64"/>
    <w:rsid w:val="5D982E4F"/>
    <w:rsid w:val="5DC45EB7"/>
    <w:rsid w:val="5E020694"/>
    <w:rsid w:val="5E155FC4"/>
    <w:rsid w:val="5E211001"/>
    <w:rsid w:val="5E3A203D"/>
    <w:rsid w:val="5EF37A83"/>
    <w:rsid w:val="5EF6BD3E"/>
    <w:rsid w:val="5F730EDF"/>
    <w:rsid w:val="600D795E"/>
    <w:rsid w:val="602F6597"/>
    <w:rsid w:val="60FC7052"/>
    <w:rsid w:val="61185059"/>
    <w:rsid w:val="61DC5F50"/>
    <w:rsid w:val="62AE5E99"/>
    <w:rsid w:val="62D848B3"/>
    <w:rsid w:val="62F449D4"/>
    <w:rsid w:val="631303F2"/>
    <w:rsid w:val="631D283B"/>
    <w:rsid w:val="632B4911"/>
    <w:rsid w:val="633A151A"/>
    <w:rsid w:val="63423343"/>
    <w:rsid w:val="659C44AC"/>
    <w:rsid w:val="659E3FB9"/>
    <w:rsid w:val="65E26927"/>
    <w:rsid w:val="660F6C72"/>
    <w:rsid w:val="6613273E"/>
    <w:rsid w:val="66405B3F"/>
    <w:rsid w:val="666837B1"/>
    <w:rsid w:val="666B22F3"/>
    <w:rsid w:val="66E06F57"/>
    <w:rsid w:val="67236CF9"/>
    <w:rsid w:val="678507DC"/>
    <w:rsid w:val="67BA377B"/>
    <w:rsid w:val="68172689"/>
    <w:rsid w:val="685B0A50"/>
    <w:rsid w:val="687A4F42"/>
    <w:rsid w:val="689E7F97"/>
    <w:rsid w:val="68D7327E"/>
    <w:rsid w:val="69F471EB"/>
    <w:rsid w:val="6A38501C"/>
    <w:rsid w:val="6AC67020"/>
    <w:rsid w:val="6B112BB1"/>
    <w:rsid w:val="6B741D36"/>
    <w:rsid w:val="6BCC4686"/>
    <w:rsid w:val="6BFE6474"/>
    <w:rsid w:val="6C0A6B68"/>
    <w:rsid w:val="6C0C4B79"/>
    <w:rsid w:val="6C6362BF"/>
    <w:rsid w:val="6C934296"/>
    <w:rsid w:val="6CA0648B"/>
    <w:rsid w:val="6CC71678"/>
    <w:rsid w:val="6CE4695B"/>
    <w:rsid w:val="6D127268"/>
    <w:rsid w:val="6D451E7C"/>
    <w:rsid w:val="6D9D2EC4"/>
    <w:rsid w:val="6DA64FDD"/>
    <w:rsid w:val="6DB90B84"/>
    <w:rsid w:val="6E2C491D"/>
    <w:rsid w:val="6E8D0408"/>
    <w:rsid w:val="6EB20ABF"/>
    <w:rsid w:val="6ED37481"/>
    <w:rsid w:val="6F237BAE"/>
    <w:rsid w:val="6F7F4960"/>
    <w:rsid w:val="6F8273EA"/>
    <w:rsid w:val="6FBE90C4"/>
    <w:rsid w:val="705220CC"/>
    <w:rsid w:val="70831C21"/>
    <w:rsid w:val="70B75D01"/>
    <w:rsid w:val="70E33148"/>
    <w:rsid w:val="7122045F"/>
    <w:rsid w:val="715E1550"/>
    <w:rsid w:val="71AA0DA1"/>
    <w:rsid w:val="72194641"/>
    <w:rsid w:val="724C2586"/>
    <w:rsid w:val="72EFB8B8"/>
    <w:rsid w:val="72F97FCF"/>
    <w:rsid w:val="7396154B"/>
    <w:rsid w:val="73B54BAD"/>
    <w:rsid w:val="73C442F1"/>
    <w:rsid w:val="73F83739"/>
    <w:rsid w:val="742800D5"/>
    <w:rsid w:val="742D610F"/>
    <w:rsid w:val="743E3CDB"/>
    <w:rsid w:val="74485B23"/>
    <w:rsid w:val="74546587"/>
    <w:rsid w:val="745D6E62"/>
    <w:rsid w:val="74A8445D"/>
    <w:rsid w:val="74BF2D1F"/>
    <w:rsid w:val="74D02010"/>
    <w:rsid w:val="74F60D2F"/>
    <w:rsid w:val="75DF6FC7"/>
    <w:rsid w:val="763A3ED1"/>
    <w:rsid w:val="764C4705"/>
    <w:rsid w:val="767630B7"/>
    <w:rsid w:val="77087583"/>
    <w:rsid w:val="77B84C6A"/>
    <w:rsid w:val="77D02FCA"/>
    <w:rsid w:val="77DB267C"/>
    <w:rsid w:val="77F91B9B"/>
    <w:rsid w:val="780B3824"/>
    <w:rsid w:val="781F0F34"/>
    <w:rsid w:val="790D4829"/>
    <w:rsid w:val="79532198"/>
    <w:rsid w:val="7983652A"/>
    <w:rsid w:val="79A5449B"/>
    <w:rsid w:val="7A264E7F"/>
    <w:rsid w:val="7A2C19FD"/>
    <w:rsid w:val="7A604BC7"/>
    <w:rsid w:val="7BC90C8D"/>
    <w:rsid w:val="7BEB43DD"/>
    <w:rsid w:val="7D2F16BF"/>
    <w:rsid w:val="7DAD0C05"/>
    <w:rsid w:val="7DD520D4"/>
    <w:rsid w:val="7DF613AA"/>
    <w:rsid w:val="7DFB735A"/>
    <w:rsid w:val="7DFE5D50"/>
    <w:rsid w:val="7E94110C"/>
    <w:rsid w:val="7EC76160"/>
    <w:rsid w:val="7ED72C68"/>
    <w:rsid w:val="7EEA6804"/>
    <w:rsid w:val="7EFF0183"/>
    <w:rsid w:val="7F002732"/>
    <w:rsid w:val="7F341177"/>
    <w:rsid w:val="97EFE325"/>
    <w:rsid w:val="9F3F645B"/>
    <w:rsid w:val="BDDF5CC1"/>
    <w:rsid w:val="E7376546"/>
    <w:rsid w:val="EFF7F792"/>
    <w:rsid w:val="EFFF0B01"/>
    <w:rsid w:val="F7453E24"/>
    <w:rsid w:val="F77C280F"/>
    <w:rsid w:val="F7AD6D19"/>
    <w:rsid w:val="FCDF0AE3"/>
    <w:rsid w:val="FEDF6482"/>
    <w:rsid w:val="FFF8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spacing w:line="360" w:lineRule="auto"/>
      <w:jc w:val="center"/>
      <w:outlineLvl w:val="0"/>
    </w:pPr>
    <w:rPr>
      <w:b/>
      <w:color w:val="000000"/>
      <w:sz w:val="32"/>
    </w:rPr>
  </w:style>
  <w:style w:type="paragraph" w:styleId="2">
    <w:name w:val="heading 2"/>
    <w:basedOn w:val="1"/>
    <w:next w:val="1"/>
    <w:link w:val="114"/>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1"/>
    <w:link w:val="94"/>
    <w:qFormat/>
    <w:uiPriority w:val="0"/>
    <w:pPr>
      <w:widowControl/>
      <w:autoSpaceDE w:val="0"/>
      <w:autoSpaceDN w:val="0"/>
      <w:snapToGrid w:val="0"/>
      <w:spacing w:line="360" w:lineRule="auto"/>
      <w:ind w:firstLine="200" w:firstLineChars="200"/>
      <w:outlineLvl w:val="2"/>
    </w:pPr>
    <w:rPr>
      <w:rFonts w:ascii="Arial" w:hAnsi="Arial"/>
      <w:b/>
      <w:szCs w:val="20"/>
    </w:rPr>
  </w:style>
  <w:style w:type="paragraph" w:styleId="5">
    <w:name w:val="heading 4"/>
    <w:basedOn w:val="1"/>
    <w:next w:val="1"/>
    <w:link w:val="113"/>
    <w:qFormat/>
    <w:uiPriority w:val="9"/>
    <w:pPr>
      <w:widowControl/>
      <w:spacing w:before="100" w:beforeAutospacing="1" w:after="100" w:afterAutospacing="1"/>
      <w:jc w:val="left"/>
      <w:outlineLvl w:val="3"/>
    </w:pPr>
    <w:rPr>
      <w:rFonts w:ascii="宋体" w:hAnsi="宋体"/>
      <w:kern w:val="0"/>
      <w:sz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szCs w:val="20"/>
    </w:rPr>
  </w:style>
  <w:style w:type="paragraph" w:styleId="7">
    <w:name w:val="toc 7"/>
    <w:basedOn w:val="1"/>
    <w:next w:val="1"/>
    <w:qFormat/>
    <w:uiPriority w:val="0"/>
    <w:pPr>
      <w:ind w:left="1260"/>
      <w:jc w:val="left"/>
    </w:pPr>
    <w:rPr>
      <w:sz w:val="18"/>
      <w:szCs w:val="18"/>
    </w:rPr>
  </w:style>
  <w:style w:type="paragraph" w:styleId="8">
    <w:name w:val="Normal Indent"/>
    <w:basedOn w:val="1"/>
    <w:next w:val="1"/>
    <w:link w:val="93"/>
    <w:qFormat/>
    <w:uiPriority w:val="0"/>
    <w:pPr>
      <w:ind w:firstLine="420" w:firstLineChars="200"/>
    </w:pPr>
  </w:style>
  <w:style w:type="paragraph" w:styleId="9">
    <w:name w:val="Document Map"/>
    <w:basedOn w:val="1"/>
    <w:link w:val="117"/>
    <w:qFormat/>
    <w:uiPriority w:val="0"/>
    <w:pPr>
      <w:shd w:val="clear" w:color="auto" w:fill="000080"/>
    </w:pPr>
  </w:style>
  <w:style w:type="paragraph" w:styleId="10">
    <w:name w:val="annotation text"/>
    <w:basedOn w:val="1"/>
    <w:link w:val="110"/>
    <w:qFormat/>
    <w:uiPriority w:val="0"/>
    <w:pPr>
      <w:jc w:val="left"/>
    </w:pPr>
    <w:rPr>
      <w:szCs w:val="20"/>
    </w:rPr>
  </w:style>
  <w:style w:type="paragraph" w:styleId="11">
    <w:name w:val="Body Text 3"/>
    <w:basedOn w:val="1"/>
    <w:qFormat/>
    <w:uiPriority w:val="0"/>
    <w:pPr>
      <w:spacing w:line="440" w:lineRule="atLeast"/>
      <w:jc w:val="center"/>
    </w:pPr>
    <w:rPr>
      <w:rFonts w:ascii="楷体_GB2312" w:eastAsia="楷体_GB2312"/>
      <w:b/>
      <w:color w:val="000000"/>
      <w:sz w:val="30"/>
    </w:rPr>
  </w:style>
  <w:style w:type="paragraph" w:styleId="1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Body Text Indent"/>
    <w:basedOn w:val="1"/>
    <w:next w:val="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4">
    <w:name w:val="Body Text First Indent 2"/>
    <w:basedOn w:val="13"/>
    <w:semiHidden/>
    <w:qFormat/>
    <w:uiPriority w:val="0"/>
    <w:pPr>
      <w:spacing w:after="120"/>
      <w:ind w:left="420" w:leftChars="200" w:firstLine="420" w:firstLineChars="200"/>
      <w:textAlignment w:val="baseline"/>
    </w:pPr>
    <w:rPr>
      <w:rFonts w:ascii="Times New Roman"/>
      <w:szCs w:val="24"/>
    </w:rPr>
  </w:style>
  <w:style w:type="paragraph" w:styleId="15">
    <w:name w:val="List 2"/>
    <w:basedOn w:val="1"/>
    <w:qFormat/>
    <w:uiPriority w:val="0"/>
    <w:pPr>
      <w:ind w:left="100" w:leftChars="200" w:hanging="200" w:hangingChars="200"/>
    </w:p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next w:val="1"/>
    <w:link w:val="104"/>
    <w:qFormat/>
    <w:uiPriority w:val="0"/>
    <w:rPr>
      <w:rFonts w:ascii="宋体" w:hAnsi="Courier New"/>
      <w:szCs w:val="20"/>
    </w:rPr>
  </w:style>
  <w:style w:type="paragraph" w:styleId="19">
    <w:name w:val="toc 8"/>
    <w:basedOn w:val="1"/>
    <w:next w:val="1"/>
    <w:qFormat/>
    <w:uiPriority w:val="0"/>
    <w:pPr>
      <w:ind w:left="1470"/>
      <w:jc w:val="left"/>
    </w:pPr>
    <w:rPr>
      <w:sz w:val="18"/>
      <w:szCs w:val="18"/>
    </w:rPr>
  </w:style>
  <w:style w:type="paragraph" w:styleId="20">
    <w:name w:val="Date"/>
    <w:basedOn w:val="1"/>
    <w:next w:val="1"/>
    <w:link w:val="107"/>
    <w:qFormat/>
    <w:uiPriority w:val="99"/>
    <w:pPr>
      <w:ind w:left="100" w:leftChars="2500"/>
    </w:pPr>
    <w:rPr>
      <w:color w:val="000000"/>
      <w:sz w:val="24"/>
    </w:rPr>
  </w:style>
  <w:style w:type="paragraph" w:styleId="21">
    <w:name w:val="Body Text Indent 2"/>
    <w:basedOn w:val="1"/>
    <w:next w:val="22"/>
    <w:qFormat/>
    <w:uiPriority w:val="0"/>
    <w:pPr>
      <w:widowControl/>
      <w:spacing w:line="480" w:lineRule="atLeast"/>
      <w:ind w:firstLine="480"/>
    </w:pPr>
    <w:rPr>
      <w:rFonts w:ascii="宋体"/>
      <w:kern w:val="0"/>
      <w:sz w:val="24"/>
      <w:szCs w:val="20"/>
    </w:rPr>
  </w:style>
  <w:style w:type="paragraph" w:customStyle="1" w:styleId="22">
    <w:name w:val="z正文"/>
    <w:basedOn w:val="18"/>
    <w:qFormat/>
    <w:uiPriority w:val="99"/>
    <w:pPr>
      <w:tabs>
        <w:tab w:val="left" w:pos="525"/>
      </w:tabs>
      <w:snapToGrid w:val="0"/>
      <w:spacing w:line="360" w:lineRule="auto"/>
    </w:pPr>
    <w:rPr>
      <w:rFonts w:hAnsi="宋体"/>
      <w:sz w:val="24"/>
    </w:rPr>
  </w:style>
  <w:style w:type="paragraph" w:styleId="23">
    <w:name w:val="Balloon Text"/>
    <w:basedOn w:val="1"/>
    <w:qFormat/>
    <w:uiPriority w:val="0"/>
    <w:rPr>
      <w:sz w:val="18"/>
      <w:szCs w:val="18"/>
    </w:rPr>
  </w:style>
  <w:style w:type="paragraph" w:styleId="24">
    <w:name w:val="footer"/>
    <w:basedOn w:val="1"/>
    <w:link w:val="101"/>
    <w:qFormat/>
    <w:uiPriority w:val="0"/>
    <w:pPr>
      <w:pBdr>
        <w:top w:val="single" w:color="auto" w:sz="4" w:space="1"/>
      </w:pBd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cs="Arial"/>
      <w:sz w:val="28"/>
      <w:szCs w:val="20"/>
    </w:rPr>
  </w:style>
  <w:style w:type="paragraph" w:styleId="26">
    <w:name w:val="header"/>
    <w:basedOn w:val="1"/>
    <w:link w:val="115"/>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403"/>
      </w:tabs>
      <w:snapToGrid w:val="0"/>
      <w:spacing w:line="360" w:lineRule="auto"/>
    </w:pPr>
    <w:rPr>
      <w:rFonts w:ascii="Arial" w:hAnsi="Arial"/>
      <w:b/>
      <w:bCs/>
      <w:caps/>
    </w:rPr>
  </w:style>
  <w:style w:type="paragraph" w:styleId="28">
    <w:name w:val="toc 4"/>
    <w:basedOn w:val="1"/>
    <w:next w:val="1"/>
    <w:qFormat/>
    <w:uiPriority w:val="0"/>
    <w:pPr>
      <w:ind w:left="630"/>
      <w:jc w:val="left"/>
    </w:pPr>
    <w:rPr>
      <w:sz w:val="18"/>
      <w:szCs w:val="18"/>
    </w:rPr>
  </w:style>
  <w:style w:type="paragraph" w:styleId="29">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200" w:hanging="200" w:hangingChars="200"/>
    </w:pPr>
  </w:style>
  <w:style w:type="paragraph" w:styleId="31">
    <w:name w:val="toc 6"/>
    <w:basedOn w:val="1"/>
    <w:next w:val="1"/>
    <w:qFormat/>
    <w:uiPriority w:val="0"/>
    <w:pPr>
      <w:ind w:left="1050"/>
      <w:jc w:val="left"/>
    </w:pPr>
    <w:rPr>
      <w:sz w:val="18"/>
      <w:szCs w:val="18"/>
    </w:rPr>
  </w:style>
  <w:style w:type="paragraph" w:styleId="32">
    <w:name w:val="List 5"/>
    <w:basedOn w:val="1"/>
    <w:qFormat/>
    <w:uiPriority w:val="0"/>
    <w:pPr>
      <w:ind w:left="100" w:leftChars="800" w:hanging="200" w:hangingChars="200"/>
    </w:pPr>
    <w:rPr>
      <w:szCs w:val="20"/>
    </w:rPr>
  </w:style>
  <w:style w:type="paragraph" w:styleId="3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4">
    <w:name w:val="toc 2"/>
    <w:basedOn w:val="1"/>
    <w:next w:val="1"/>
    <w:qFormat/>
    <w:uiPriority w:val="0"/>
    <w:pPr>
      <w:tabs>
        <w:tab w:val="right" w:leader="dot" w:pos="9403"/>
      </w:tabs>
      <w:snapToGrid w:val="0"/>
      <w:spacing w:line="360" w:lineRule="auto"/>
      <w:ind w:firstLine="200" w:firstLineChars="200"/>
    </w:pPr>
    <w:rPr>
      <w:rFonts w:ascii="Arial" w:hAnsi="Arial"/>
      <w:smallCaps/>
    </w:rPr>
  </w:style>
  <w:style w:type="paragraph" w:styleId="35">
    <w:name w:val="toc 9"/>
    <w:basedOn w:val="1"/>
    <w:next w:val="1"/>
    <w:qFormat/>
    <w:uiPriority w:val="0"/>
    <w:pPr>
      <w:ind w:left="1680"/>
      <w:jc w:val="left"/>
    </w:pPr>
    <w:rPr>
      <w:sz w:val="18"/>
      <w:szCs w:val="18"/>
    </w:rPr>
  </w:style>
  <w:style w:type="paragraph" w:styleId="36">
    <w:name w:val="Body Text 2"/>
    <w:basedOn w:val="1"/>
    <w:qFormat/>
    <w:uiPriority w:val="0"/>
    <w:rPr>
      <w:b/>
      <w:bCs/>
      <w:color w:val="000000"/>
      <w:sz w:val="28"/>
    </w:rPr>
  </w:style>
  <w:style w:type="paragraph" w:styleId="37">
    <w:name w:val="List 4"/>
    <w:basedOn w:val="1"/>
    <w:qFormat/>
    <w:uiPriority w:val="0"/>
    <w:pPr>
      <w:ind w:left="100" w:leftChars="600" w:hanging="200" w:hangingChars="200"/>
    </w:pPr>
    <w:rPr>
      <w:szCs w:val="20"/>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index 1"/>
    <w:basedOn w:val="1"/>
    <w:next w:val="1"/>
    <w:qFormat/>
    <w:uiPriority w:val="0"/>
    <w:pPr>
      <w:widowControl/>
      <w:spacing w:line="360" w:lineRule="auto"/>
      <w:jc w:val="center"/>
    </w:pPr>
    <w:rPr>
      <w:rFonts w:ascii="Arial" w:hAnsi="Arial" w:cs="Arial"/>
      <w:kern w:val="0"/>
      <w:sz w:val="24"/>
    </w:rPr>
  </w:style>
  <w:style w:type="paragraph" w:styleId="41">
    <w:name w:val="Title"/>
    <w:basedOn w:val="1"/>
    <w:qFormat/>
    <w:uiPriority w:val="0"/>
    <w:pPr>
      <w:jc w:val="center"/>
    </w:pPr>
    <w:rPr>
      <w:sz w:val="30"/>
    </w:rPr>
  </w:style>
  <w:style w:type="paragraph" w:styleId="42">
    <w:name w:val="annotation subject"/>
    <w:basedOn w:val="10"/>
    <w:next w:val="10"/>
    <w:link w:val="99"/>
    <w:qFormat/>
    <w:uiPriority w:val="0"/>
    <w:rPr>
      <w:b/>
      <w:bCs/>
    </w:rPr>
  </w:style>
  <w:style w:type="paragraph" w:styleId="43">
    <w:name w:val="Body Text First Indent"/>
    <w:basedOn w:val="12"/>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rPr>
      <w:rFonts w:eastAsia="Arial"/>
    </w:rPr>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paragraph" w:customStyle="1" w:styleId="53">
    <w:name w:val="正文首行缩进1(Crlf+Shift+M)"/>
    <w:qFormat/>
    <w:uiPriority w:val="0"/>
    <w:pPr>
      <w:spacing w:after="160" w:line="360" w:lineRule="auto"/>
      <w:ind w:firstLine="200" w:firstLineChars="200"/>
    </w:pPr>
    <w:rPr>
      <w:rFonts w:ascii="Arial" w:hAnsi="Arial" w:eastAsia="宋体" w:cs="宋体"/>
      <w:kern w:val="2"/>
      <w:sz w:val="24"/>
      <w:lang w:val="en-US" w:eastAsia="zh-CN" w:bidi="ar-SA"/>
    </w:rPr>
  </w:style>
  <w:style w:type="paragraph" w:customStyle="1" w:styleId="5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55">
    <w:name w:val="纯文本1"/>
    <w:basedOn w:val="1"/>
    <w:link w:val="109"/>
    <w:qFormat/>
    <w:uiPriority w:val="0"/>
    <w:pPr>
      <w:widowControl/>
      <w:jc w:val="left"/>
    </w:pPr>
    <w:rPr>
      <w:rFonts w:hint="eastAsia" w:ascii="宋体" w:hAnsi="Courier New"/>
      <w:szCs w:val="20"/>
    </w:rPr>
  </w:style>
  <w:style w:type="paragraph" w:customStyle="1" w:styleId="56">
    <w:name w:val="**正文"/>
    <w:basedOn w:val="1"/>
    <w:unhideWhenUsed/>
    <w:qFormat/>
    <w:uiPriority w:val="0"/>
    <w:pPr>
      <w:ind w:firstLine="200" w:firstLineChars="200"/>
    </w:pPr>
    <w:rPr>
      <w:rFonts w:ascii="宋体" w:hAnsi="Calibri"/>
    </w:rPr>
  </w:style>
  <w:style w:type="paragraph" w:customStyle="1" w:styleId="57">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58">
    <w:name w:val="Char4"/>
    <w:basedOn w:val="8"/>
    <w:qFormat/>
    <w:uiPriority w:val="0"/>
    <w:pPr>
      <w:widowControl/>
      <w:spacing w:afterLines="50" w:line="360" w:lineRule="auto"/>
      <w:ind w:firstLine="480"/>
      <w:jc w:val="left"/>
    </w:pPr>
  </w:style>
  <w:style w:type="paragraph" w:customStyle="1" w:styleId="59">
    <w:name w:val="Default"/>
    <w:next w:val="57"/>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60">
    <w:name w:val="Char"/>
    <w:basedOn w:val="1"/>
    <w:qFormat/>
    <w:uiPriority w:val="0"/>
    <w:rPr>
      <w:rFonts w:ascii="仿宋_GB2312" w:eastAsia="仿宋_GB2312"/>
      <w:b/>
      <w:sz w:val="32"/>
      <w:szCs w:val="32"/>
    </w:rPr>
  </w:style>
  <w:style w:type="paragraph" w:customStyle="1" w:styleId="6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62">
    <w:name w:val="彩色列表1"/>
    <w:basedOn w:val="1"/>
    <w:link w:val="97"/>
    <w:qFormat/>
    <w:uiPriority w:val="0"/>
    <w:pPr>
      <w:ind w:firstLine="420" w:firstLineChars="200"/>
    </w:pPr>
  </w:style>
  <w:style w:type="paragraph" w:customStyle="1" w:styleId="63">
    <w:name w:val="第一部分"/>
    <w:basedOn w:val="1"/>
    <w:qFormat/>
    <w:uiPriority w:val="0"/>
    <w:pPr>
      <w:jc w:val="center"/>
    </w:pPr>
    <w:rPr>
      <w:rFonts w:ascii="宋体" w:hAnsi="宋体"/>
      <w:sz w:val="44"/>
      <w:szCs w:val="44"/>
    </w:rPr>
  </w:style>
  <w:style w:type="paragraph" w:customStyle="1" w:styleId="64">
    <w:name w:val="1"/>
    <w:basedOn w:val="1"/>
    <w:next w:val="33"/>
    <w:qFormat/>
    <w:uiPriority w:val="0"/>
    <w:pPr>
      <w:widowControl/>
      <w:snapToGrid w:val="0"/>
      <w:spacing w:line="440" w:lineRule="atLeast"/>
      <w:ind w:firstLine="480"/>
    </w:pPr>
    <w:rPr>
      <w:kern w:val="0"/>
      <w:sz w:val="24"/>
      <w:szCs w:val="20"/>
    </w:rPr>
  </w:style>
  <w:style w:type="paragraph" w:customStyle="1" w:styleId="65">
    <w:name w:val="_Style 63"/>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66">
    <w:name w:val="样式4"/>
    <w:basedOn w:val="24"/>
    <w:qFormat/>
    <w:uiPriority w:val="0"/>
    <w:pPr>
      <w:pBdr>
        <w:bottom w:val="single" w:color="auto" w:sz="4" w:space="1"/>
      </w:pBdr>
      <w:tabs>
        <w:tab w:val="right" w:pos="9901"/>
        <w:tab w:val="clear" w:pos="4153"/>
        <w:tab w:val="clear" w:pos="8306"/>
      </w:tabs>
    </w:pPr>
    <w:rPr>
      <w:sz w:val="21"/>
    </w:rPr>
  </w:style>
  <w:style w:type="paragraph" w:customStyle="1" w:styleId="67">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8">
    <w:name w:val="样式1"/>
    <w:basedOn w:val="1"/>
    <w:link w:val="102"/>
    <w:qFormat/>
    <w:uiPriority w:val="0"/>
    <w:pPr>
      <w:spacing w:line="360" w:lineRule="exact"/>
      <w:ind w:firstLine="200" w:firstLineChars="200"/>
    </w:pPr>
    <w:rPr>
      <w:rFonts w:ascii="Arial" w:hAnsi="Arial"/>
    </w:rPr>
  </w:style>
  <w:style w:type="paragraph" w:customStyle="1" w:styleId="69">
    <w:name w:val="Char3"/>
    <w:basedOn w:val="26"/>
    <w:next w:val="26"/>
    <w:link w:val="91"/>
    <w:qFormat/>
    <w:uiPriority w:val="0"/>
    <w:pPr>
      <w:snapToGrid/>
      <w:jc w:val="right"/>
    </w:pPr>
    <w:rPr>
      <w:rFonts w:ascii="宋体" w:hAnsi="宋体"/>
      <w:b/>
      <w:sz w:val="21"/>
      <w:szCs w:val="21"/>
    </w:rPr>
  </w:style>
  <w:style w:type="paragraph" w:customStyle="1" w:styleId="70">
    <w:name w:val="内文正文"/>
    <w:basedOn w:val="18"/>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2">
    <w:name w:val="正文1"/>
    <w:basedOn w:val="1"/>
    <w:qFormat/>
    <w:uiPriority w:val="3"/>
    <w:pPr>
      <w:adjustRightInd w:val="0"/>
      <w:spacing w:line="360" w:lineRule="atLeast"/>
      <w:jc w:val="left"/>
      <w:textAlignment w:val="baseline"/>
    </w:pPr>
    <w:rPr>
      <w:rFonts w:ascii="宋体"/>
      <w:kern w:val="0"/>
      <w:sz w:val="24"/>
      <w:szCs w:val="20"/>
    </w:rPr>
  </w:style>
  <w:style w:type="paragraph" w:customStyle="1" w:styleId="73">
    <w:name w:val="Char2"/>
    <w:basedOn w:val="1"/>
    <w:qFormat/>
    <w:uiPriority w:val="0"/>
    <w:rPr>
      <w:rFonts w:ascii="仿宋_GB2312" w:eastAsia="仿宋_GB2312"/>
      <w:b/>
      <w:sz w:val="32"/>
      <w:szCs w:val="32"/>
    </w:rPr>
  </w:style>
  <w:style w:type="paragraph" w:customStyle="1" w:styleId="74">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5">
    <w:name w:val="普通(网站)1"/>
    <w:basedOn w:val="1"/>
    <w:qFormat/>
    <w:uiPriority w:val="0"/>
    <w:pPr>
      <w:widowControl/>
      <w:jc w:val="left"/>
    </w:pPr>
    <w:rPr>
      <w:rFonts w:ascii="ˎ̥" w:hAnsi="ˎ̥" w:cs="宋体"/>
      <w:color w:val="000000"/>
      <w:kern w:val="0"/>
      <w:sz w:val="13"/>
      <w:szCs w:val="13"/>
    </w:rPr>
  </w:style>
  <w:style w:type="paragraph" w:customStyle="1" w:styleId="7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77">
    <w:name w:val="默认段落字体 Para Char"/>
    <w:basedOn w:val="1"/>
    <w:qFormat/>
    <w:uiPriority w:val="0"/>
    <w:pPr>
      <w:tabs>
        <w:tab w:val="left" w:pos="454"/>
      </w:tabs>
      <w:ind w:firstLine="420"/>
    </w:pPr>
  </w:style>
  <w:style w:type="paragraph" w:customStyle="1" w:styleId="78">
    <w:name w:val="正文2"/>
    <w:basedOn w:val="1"/>
    <w:qFormat/>
    <w:uiPriority w:val="0"/>
    <w:pPr>
      <w:spacing w:before="156" w:line="360" w:lineRule="auto"/>
      <w:ind w:firstLine="510" w:firstLineChars="200"/>
    </w:pPr>
    <w:rPr>
      <w:sz w:val="24"/>
      <w:szCs w:val="20"/>
    </w:rPr>
  </w:style>
  <w:style w:type="paragraph" w:customStyle="1" w:styleId="79">
    <w:name w:val="Char1 Char Char Char"/>
    <w:basedOn w:val="1"/>
    <w:qFormat/>
    <w:uiPriority w:val="0"/>
    <w:rPr>
      <w:szCs w:val="20"/>
    </w:rPr>
  </w:style>
  <w:style w:type="paragraph" w:customStyle="1" w:styleId="80">
    <w:name w:val="_Style 50"/>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8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Char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3">
    <w:name w:val="Char1 Char Char Char Char Char Char"/>
    <w:basedOn w:val="1"/>
    <w:qFormat/>
    <w:uiPriority w:val="0"/>
    <w:rPr>
      <w:rFonts w:ascii="仿宋_GB2312" w:eastAsia="仿宋_GB2312"/>
      <w:b/>
      <w:sz w:val="32"/>
      <w:szCs w:val="32"/>
    </w:rPr>
  </w:style>
  <w:style w:type="paragraph" w:customStyle="1" w:styleId="84">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5">
    <w:name w:val="Char Char Char Char"/>
    <w:basedOn w:val="1"/>
    <w:qFormat/>
    <w:uiPriority w:val="0"/>
  </w:style>
  <w:style w:type="paragraph" w:customStyle="1" w:styleId="86">
    <w:name w:val="正文－恩普"/>
    <w:basedOn w:val="8"/>
    <w:qFormat/>
    <w:uiPriority w:val="0"/>
    <w:pPr>
      <w:widowControl/>
      <w:spacing w:afterLines="50" w:line="360" w:lineRule="auto"/>
      <w:ind w:firstLine="480"/>
      <w:jc w:val="left"/>
    </w:pPr>
    <w:rPr>
      <w:kern w:val="0"/>
      <w:sz w:val="24"/>
      <w:szCs w:val="20"/>
    </w:rPr>
  </w:style>
  <w:style w:type="paragraph" w:customStyle="1" w:styleId="87">
    <w:name w:val="正文（首行缩进）"/>
    <w:basedOn w:val="13"/>
    <w:qFormat/>
    <w:uiPriority w:val="0"/>
    <w:pPr>
      <w:numPr>
        <w:ilvl w:val="0"/>
        <w:numId w:val="1"/>
      </w:numPr>
      <w:overflowPunct w:val="0"/>
      <w:adjustRightInd w:val="0"/>
      <w:snapToGrid/>
      <w:spacing w:before="156" w:beforeLines="50" w:after="120" w:line="400" w:lineRule="exact"/>
      <w:ind w:left="200" w:leftChars="200" w:firstLine="200" w:firstLineChars="200"/>
      <w:jc w:val="left"/>
      <w:textAlignment w:val="baseline"/>
    </w:pPr>
    <w:rPr>
      <w:rFonts w:ascii="Times New Roman"/>
      <w:spacing w:val="10"/>
    </w:rPr>
  </w:style>
  <w:style w:type="character" w:customStyle="1" w:styleId="88">
    <w:name w:val="纯文本 Char2"/>
    <w:qFormat/>
    <w:uiPriority w:val="0"/>
    <w:rPr>
      <w:rFonts w:ascii="宋体" w:hAnsi="Courier New" w:eastAsia="宋体"/>
      <w:kern w:val="2"/>
      <w:sz w:val="21"/>
    </w:rPr>
  </w:style>
  <w:style w:type="character" w:customStyle="1" w:styleId="89">
    <w:name w:val="Char Char17"/>
    <w:semiHidden/>
    <w:qFormat/>
    <w:uiPriority w:val="0"/>
    <w:rPr>
      <w:rFonts w:eastAsia="宋体"/>
      <w:kern w:val="2"/>
      <w:sz w:val="21"/>
      <w:szCs w:val="24"/>
      <w:lang w:bidi="ar-SA"/>
    </w:rPr>
  </w:style>
  <w:style w:type="character" w:customStyle="1" w:styleId="90">
    <w:name w:val="样式1 Char Char Char"/>
    <w:qFormat/>
    <w:uiPriority w:val="0"/>
    <w:rPr>
      <w:rFonts w:ascii="Arial" w:hAnsi="Arial" w:eastAsia="宋体"/>
      <w:kern w:val="2"/>
      <w:sz w:val="21"/>
      <w:szCs w:val="24"/>
      <w:lang w:val="en-US" w:eastAsia="zh-CN" w:bidi="ar-SA"/>
    </w:rPr>
  </w:style>
  <w:style w:type="character" w:customStyle="1" w:styleId="91">
    <w:name w:val="Char Char Char"/>
    <w:link w:val="69"/>
    <w:qFormat/>
    <w:uiPriority w:val="0"/>
    <w:rPr>
      <w:rFonts w:ascii="宋体" w:hAnsi="宋体" w:eastAsia="宋体"/>
      <w:b/>
      <w:kern w:val="2"/>
      <w:sz w:val="21"/>
      <w:szCs w:val="21"/>
      <w:lang w:val="en-US" w:eastAsia="zh-CN" w:bidi="ar-SA"/>
    </w:rPr>
  </w:style>
  <w:style w:type="character" w:customStyle="1" w:styleId="92">
    <w:name w:val="weby11"/>
    <w:qFormat/>
    <w:uiPriority w:val="0"/>
    <w:rPr>
      <w:sz w:val="18"/>
      <w:szCs w:val="18"/>
    </w:rPr>
  </w:style>
  <w:style w:type="character" w:customStyle="1" w:styleId="93">
    <w:name w:val="正文缩进 字符"/>
    <w:link w:val="8"/>
    <w:qFormat/>
    <w:uiPriority w:val="0"/>
    <w:rPr>
      <w:rFonts w:eastAsia="宋体"/>
      <w:kern w:val="2"/>
      <w:sz w:val="21"/>
      <w:szCs w:val="24"/>
      <w:lang w:val="en-US" w:eastAsia="zh-CN" w:bidi="ar-SA"/>
    </w:rPr>
  </w:style>
  <w:style w:type="character" w:customStyle="1" w:styleId="94">
    <w:name w:val="标题 3 字符"/>
    <w:link w:val="4"/>
    <w:qFormat/>
    <w:uiPriority w:val="0"/>
    <w:rPr>
      <w:rFonts w:ascii="Arial" w:hAnsi="Arial"/>
      <w:b/>
      <w:kern w:val="2"/>
      <w:sz w:val="21"/>
    </w:rPr>
  </w:style>
  <w:style w:type="character" w:customStyle="1" w:styleId="95">
    <w:name w:val="style8"/>
    <w:qFormat/>
    <w:uiPriority w:val="0"/>
  </w:style>
  <w:style w:type="character" w:customStyle="1" w:styleId="96">
    <w:name w:val="副标题 字符"/>
    <w:link w:val="29"/>
    <w:qFormat/>
    <w:uiPriority w:val="0"/>
    <w:rPr>
      <w:rFonts w:ascii="Cambria" w:hAnsi="Cambria" w:eastAsia="宋体"/>
      <w:b/>
      <w:bCs/>
      <w:kern w:val="28"/>
      <w:sz w:val="32"/>
      <w:szCs w:val="32"/>
      <w:lang w:val="en-US" w:eastAsia="zh-CN" w:bidi="ar-SA"/>
    </w:rPr>
  </w:style>
  <w:style w:type="character" w:customStyle="1" w:styleId="97">
    <w:name w:val="彩色列表字符"/>
    <w:link w:val="62"/>
    <w:qFormat/>
    <w:uiPriority w:val="0"/>
    <w:rPr>
      <w:rFonts w:eastAsia="宋体"/>
      <w:kern w:val="2"/>
      <w:sz w:val="21"/>
      <w:szCs w:val="24"/>
      <w:lang w:val="en-US" w:eastAsia="zh-CN" w:bidi="ar-SA"/>
    </w:rPr>
  </w:style>
  <w:style w:type="character" w:customStyle="1" w:styleId="98">
    <w:name w:val="标题 1 字符"/>
    <w:link w:val="3"/>
    <w:qFormat/>
    <w:uiPriority w:val="0"/>
    <w:rPr>
      <w:rFonts w:eastAsia="宋体"/>
      <w:b/>
      <w:color w:val="000000"/>
      <w:kern w:val="2"/>
      <w:sz w:val="32"/>
      <w:szCs w:val="24"/>
      <w:lang w:val="en-US" w:eastAsia="zh-CN" w:bidi="ar-SA"/>
    </w:rPr>
  </w:style>
  <w:style w:type="character" w:customStyle="1" w:styleId="99">
    <w:name w:val="批注主题 字符"/>
    <w:link w:val="42"/>
    <w:qFormat/>
    <w:uiPriority w:val="0"/>
    <w:rPr>
      <w:b/>
      <w:bCs/>
      <w:kern w:val="2"/>
      <w:sz w:val="21"/>
    </w:rPr>
  </w:style>
  <w:style w:type="character" w:customStyle="1" w:styleId="100">
    <w:name w:val="Char Char7"/>
    <w:qFormat/>
    <w:uiPriority w:val="0"/>
    <w:rPr>
      <w:b/>
      <w:bCs/>
      <w:sz w:val="32"/>
      <w:szCs w:val="32"/>
    </w:rPr>
  </w:style>
  <w:style w:type="character" w:customStyle="1" w:styleId="101">
    <w:name w:val="页脚 字符"/>
    <w:link w:val="24"/>
    <w:qFormat/>
    <w:uiPriority w:val="0"/>
    <w:rPr>
      <w:rFonts w:eastAsia="宋体"/>
      <w:kern w:val="2"/>
      <w:sz w:val="18"/>
      <w:szCs w:val="18"/>
      <w:lang w:val="en-US" w:eastAsia="zh-CN" w:bidi="ar-SA"/>
    </w:rPr>
  </w:style>
  <w:style w:type="character" w:customStyle="1" w:styleId="102">
    <w:name w:val="样式1 Char Char"/>
    <w:link w:val="68"/>
    <w:qFormat/>
    <w:uiPriority w:val="0"/>
    <w:rPr>
      <w:rFonts w:ascii="Arial" w:hAnsi="Arial" w:eastAsia="宋体"/>
      <w:kern w:val="2"/>
      <w:sz w:val="21"/>
      <w:szCs w:val="24"/>
      <w:lang w:val="en-US" w:eastAsia="zh-CN" w:bidi="ar-SA"/>
    </w:rPr>
  </w:style>
  <w:style w:type="character" w:customStyle="1" w:styleId="103">
    <w:name w:val="普通文字 Char1"/>
    <w:qFormat/>
    <w:uiPriority w:val="0"/>
    <w:rPr>
      <w:rFonts w:ascii="宋体" w:hAnsi="Courier New" w:eastAsia="宋体"/>
      <w:kern w:val="2"/>
      <w:sz w:val="21"/>
      <w:lang w:val="en-US" w:eastAsia="zh-CN"/>
    </w:rPr>
  </w:style>
  <w:style w:type="character" w:customStyle="1" w:styleId="104">
    <w:name w:val="纯文本 字符"/>
    <w:link w:val="18"/>
    <w:qFormat/>
    <w:uiPriority w:val="0"/>
    <w:rPr>
      <w:rFonts w:ascii="宋体" w:hAnsi="Courier New" w:eastAsia="宋体"/>
      <w:kern w:val="2"/>
      <w:sz w:val="21"/>
      <w:lang w:val="en-US" w:eastAsia="zh-CN" w:bidi="ar-SA"/>
    </w:rPr>
  </w:style>
  <w:style w:type="character" w:customStyle="1" w:styleId="105">
    <w:name w:val="apple-converted-space"/>
    <w:qFormat/>
    <w:uiPriority w:val="0"/>
  </w:style>
  <w:style w:type="character" w:customStyle="1" w:styleId="106">
    <w:name w:val="页码1"/>
    <w:qFormat/>
    <w:uiPriority w:val="0"/>
    <w:rPr>
      <w:rFonts w:cs="Times New Roman"/>
    </w:rPr>
  </w:style>
  <w:style w:type="character" w:customStyle="1" w:styleId="107">
    <w:name w:val="日期 字符"/>
    <w:link w:val="20"/>
    <w:qFormat/>
    <w:uiPriority w:val="99"/>
    <w:rPr>
      <w:color w:val="000000"/>
      <w:kern w:val="2"/>
      <w:sz w:val="24"/>
      <w:szCs w:val="24"/>
    </w:rPr>
  </w:style>
  <w:style w:type="character" w:customStyle="1" w:styleId="108">
    <w:name w:val="Char Char3"/>
    <w:qFormat/>
    <w:uiPriority w:val="0"/>
    <w:rPr>
      <w:rFonts w:ascii="Arial" w:hAnsi="Arial" w:eastAsia="宋体"/>
      <w:b/>
      <w:bCs/>
      <w:kern w:val="2"/>
      <w:sz w:val="21"/>
      <w:szCs w:val="32"/>
      <w:lang w:val="en-US" w:eastAsia="zh-CN" w:bidi="ar-SA"/>
    </w:rPr>
  </w:style>
  <w:style w:type="character" w:customStyle="1" w:styleId="109">
    <w:name w:val="Plain Text Char1"/>
    <w:link w:val="55"/>
    <w:qFormat/>
    <w:uiPriority w:val="0"/>
    <w:rPr>
      <w:rFonts w:ascii="宋体" w:hAnsi="Courier New"/>
      <w:kern w:val="2"/>
      <w:sz w:val="21"/>
    </w:rPr>
  </w:style>
  <w:style w:type="character" w:customStyle="1" w:styleId="110">
    <w:name w:val="批注文字 字符"/>
    <w:link w:val="10"/>
    <w:qFormat/>
    <w:uiPriority w:val="0"/>
    <w:rPr>
      <w:kern w:val="2"/>
      <w:sz w:val="21"/>
    </w:rPr>
  </w:style>
  <w:style w:type="character" w:customStyle="1" w:styleId="111">
    <w:name w:val="样式1 Char"/>
    <w:qFormat/>
    <w:uiPriority w:val="0"/>
    <w:rPr>
      <w:rFonts w:ascii="Arial" w:hAnsi="Arial" w:eastAsia="宋体"/>
      <w:kern w:val="2"/>
      <w:sz w:val="21"/>
      <w:szCs w:val="24"/>
      <w:lang w:val="en-US" w:eastAsia="zh-CN" w:bidi="ar-SA"/>
    </w:rPr>
  </w:style>
  <w:style w:type="character" w:customStyle="1" w:styleId="112">
    <w:name w:val="zbggmain style9"/>
    <w:qFormat/>
    <w:uiPriority w:val="0"/>
  </w:style>
  <w:style w:type="character" w:customStyle="1" w:styleId="113">
    <w:name w:val="标题 4 字符"/>
    <w:link w:val="5"/>
    <w:qFormat/>
    <w:uiPriority w:val="9"/>
    <w:rPr>
      <w:rFonts w:ascii="宋体" w:hAnsi="宋体" w:cs="宋体"/>
      <w:sz w:val="24"/>
      <w:szCs w:val="24"/>
    </w:rPr>
  </w:style>
  <w:style w:type="character" w:customStyle="1" w:styleId="114">
    <w:name w:val="标题 2 字符"/>
    <w:link w:val="2"/>
    <w:qFormat/>
    <w:uiPriority w:val="0"/>
    <w:rPr>
      <w:rFonts w:ascii="Arial" w:hAnsi="Arial"/>
      <w:b/>
      <w:bCs/>
      <w:kern w:val="2"/>
      <w:sz w:val="21"/>
      <w:szCs w:val="32"/>
    </w:rPr>
  </w:style>
  <w:style w:type="character" w:customStyle="1" w:styleId="115">
    <w:name w:val="页眉 字符"/>
    <w:link w:val="26"/>
    <w:qFormat/>
    <w:uiPriority w:val="0"/>
    <w:rPr>
      <w:rFonts w:eastAsia="宋体"/>
      <w:kern w:val="2"/>
      <w:sz w:val="18"/>
      <w:szCs w:val="18"/>
      <w:lang w:val="en-US" w:eastAsia="zh-CN" w:bidi="ar-SA"/>
    </w:rPr>
  </w:style>
  <w:style w:type="character" w:customStyle="1" w:styleId="116">
    <w:name w:val="style10"/>
    <w:qFormat/>
    <w:uiPriority w:val="0"/>
  </w:style>
  <w:style w:type="character" w:customStyle="1" w:styleId="117">
    <w:name w:val="文档结构图 字符"/>
    <w:link w:val="9"/>
    <w:qFormat/>
    <w:uiPriority w:val="0"/>
    <w:rPr>
      <w:kern w:val="2"/>
      <w:sz w:val="21"/>
      <w:szCs w:val="24"/>
      <w:shd w:val="clear" w:color="auto" w:fill="000080"/>
    </w:rPr>
  </w:style>
  <w:style w:type="character" w:customStyle="1" w:styleId="118">
    <w:name w:val="unnamed51"/>
    <w:qFormat/>
    <w:uiPriority w:val="0"/>
    <w:rPr>
      <w:sz w:val="22"/>
      <w:szCs w:val="22"/>
    </w:rPr>
  </w:style>
  <w:style w:type="character" w:customStyle="1" w:styleId="119">
    <w:name w:val="apple-style-span"/>
    <w:qFormat/>
    <w:uiPriority w:val="0"/>
  </w:style>
  <w:style w:type="character" w:customStyle="1" w:styleId="120">
    <w:name w:val="普通文字 Char Char2"/>
    <w:qFormat/>
    <w:uiPriority w:val="0"/>
    <w:rPr>
      <w:rFonts w:ascii="宋体" w:hAnsi="Courier New" w:eastAsia="宋体"/>
      <w:kern w:val="2"/>
      <w:sz w:val="21"/>
      <w:lang w:val="en-US" w:eastAsia="zh-CN" w:bidi="ar-SA"/>
    </w:rPr>
  </w:style>
  <w:style w:type="paragraph" w:styleId="121">
    <w:name w:val="List Paragraph"/>
    <w:basedOn w:val="1"/>
    <w:qFormat/>
    <w:uiPriority w:val="34"/>
    <w:pPr>
      <w:ind w:firstLine="420" w:firstLineChars="200"/>
    </w:pPr>
  </w:style>
  <w:style w:type="paragraph" w:customStyle="1" w:styleId="122">
    <w:name w:val="Normal Indent1"/>
    <w:basedOn w:val="1"/>
    <w:qFormat/>
    <w:uiPriority w:val="0"/>
    <w:pPr>
      <w:ind w:firstLine="420" w:firstLineChars="200"/>
    </w:pPr>
  </w:style>
  <w:style w:type="character" w:customStyle="1" w:styleId="123">
    <w:name w:val="font51"/>
    <w:basedOn w:val="46"/>
    <w:qFormat/>
    <w:uiPriority w:val="0"/>
    <w:rPr>
      <w:rFonts w:ascii="仿宋" w:hAnsi="仿宋" w:eastAsia="仿宋" w:cs="仿宋"/>
      <w:b/>
      <w:bCs/>
      <w:color w:val="000000"/>
      <w:sz w:val="24"/>
      <w:szCs w:val="24"/>
      <w:u w:val="none"/>
    </w:rPr>
  </w:style>
  <w:style w:type="character" w:customStyle="1" w:styleId="124">
    <w:name w:val="font11"/>
    <w:basedOn w:val="46"/>
    <w:qFormat/>
    <w:uiPriority w:val="0"/>
    <w:rPr>
      <w:rFonts w:hint="default" w:ascii="Times New Roman" w:hAnsi="Times New Roman" w:cs="Times New Roman"/>
      <w:b/>
      <w:bCs/>
      <w:color w:val="000000"/>
      <w:sz w:val="24"/>
      <w:szCs w:val="24"/>
      <w:u w:val="none"/>
    </w:rPr>
  </w:style>
  <w:style w:type="character" w:customStyle="1" w:styleId="125">
    <w:name w:val="font61"/>
    <w:basedOn w:val="46"/>
    <w:qFormat/>
    <w:uiPriority w:val="0"/>
    <w:rPr>
      <w:rFonts w:hint="eastAsia" w:ascii="仿宋" w:hAnsi="仿宋" w:eastAsia="仿宋" w:cs="仿宋"/>
      <w:color w:val="000000"/>
      <w:sz w:val="24"/>
      <w:szCs w:val="24"/>
      <w:u w:val="none"/>
    </w:rPr>
  </w:style>
  <w:style w:type="character" w:customStyle="1" w:styleId="126">
    <w:name w:val="font31"/>
    <w:basedOn w:val="46"/>
    <w:qFormat/>
    <w:uiPriority w:val="0"/>
    <w:rPr>
      <w:rFonts w:hint="default" w:ascii="Times New Roman" w:hAnsi="Times New Roman" w:cs="Times New Roman"/>
      <w:color w:val="000000"/>
      <w:sz w:val="24"/>
      <w:szCs w:val="24"/>
      <w:u w:val="none"/>
    </w:rPr>
  </w:style>
  <w:style w:type="character" w:customStyle="1" w:styleId="127">
    <w:name w:val="font91"/>
    <w:basedOn w:val="46"/>
    <w:qFormat/>
    <w:uiPriority w:val="0"/>
    <w:rPr>
      <w:rFonts w:ascii="仿宋" w:hAnsi="仿宋" w:eastAsia="仿宋" w:cs="仿宋"/>
      <w:b/>
      <w:bCs/>
      <w:color w:val="000000"/>
      <w:sz w:val="24"/>
      <w:szCs w:val="24"/>
      <w:u w:val="none"/>
    </w:rPr>
  </w:style>
  <w:style w:type="character" w:customStyle="1" w:styleId="128">
    <w:name w:val="font101"/>
    <w:basedOn w:val="46"/>
    <w:qFormat/>
    <w:uiPriority w:val="0"/>
    <w:rPr>
      <w:rFonts w:hint="eastAsia" w:ascii="仿宋" w:hAnsi="仿宋" w:eastAsia="仿宋" w:cs="仿宋"/>
      <w:color w:val="000000"/>
      <w:sz w:val="22"/>
      <w:szCs w:val="22"/>
      <w:u w:val="none"/>
    </w:rPr>
  </w:style>
  <w:style w:type="character" w:customStyle="1" w:styleId="129">
    <w:name w:val="font81"/>
    <w:basedOn w:val="46"/>
    <w:qFormat/>
    <w:uiPriority w:val="0"/>
    <w:rPr>
      <w:rFonts w:hint="default" w:ascii="Times New Roman" w:hAnsi="Times New Roman" w:cs="Times New Roman"/>
      <w:color w:val="000000"/>
      <w:sz w:val="22"/>
      <w:szCs w:val="22"/>
      <w:u w:val="none"/>
    </w:rPr>
  </w:style>
  <w:style w:type="paragraph" w:customStyle="1" w:styleId="13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31">
    <w:name w:val="font112"/>
    <w:basedOn w:val="46"/>
    <w:qFormat/>
    <w:uiPriority w:val="0"/>
    <w:rPr>
      <w:rFonts w:hint="eastAsia" w:ascii="仿宋_GB2312" w:eastAsia="仿宋_GB2312" w:cs="仿宋_GB2312"/>
      <w:color w:val="000000"/>
      <w:sz w:val="22"/>
      <w:szCs w:val="22"/>
      <w:u w:val="none"/>
    </w:rPr>
  </w:style>
  <w:style w:type="paragraph" w:customStyle="1" w:styleId="132">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33">
    <w:name w:val="正文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78" w:lineRule="auto"/>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27762</Words>
  <Characters>30103</Characters>
  <Lines>233</Lines>
  <Paragraphs>65</Paragraphs>
  <TotalTime>34</TotalTime>
  <ScaleCrop>false</ScaleCrop>
  <LinksUpToDate>false</LinksUpToDate>
  <CharactersWithSpaces>31258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2025-08-17T09:39:00Z</dcterms:created>
  <dc:creator>USER</dc:creator>
  <cp:lastModifiedBy>哈姆团子</cp:lastModifiedBy>
  <cp:lastPrinted>2025-08-19T07:00:00Z</cp:lastPrinted>
  <dcterms:modified xsi:type="dcterms:W3CDTF">2025-08-22T06:39:49Z</dcterms:modified>
  <dc:title>浙江省畜牧兽医局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8AA38A1E70D94DCB988D210E245AE47B</vt:lpwstr>
  </property>
  <property fmtid="{D5CDD505-2E9C-101B-9397-08002B2CF9AE}" pid="4" name="KSOTemplateDocerSaveRecord">
    <vt:lpwstr>eyJoZGlkIjoiNWZhNmE3OTcyNTNhODBiMDViNDI5OGNiODA3ZjQwOTYiLCJ1c2VySWQiOiI1MTA1MzAzODYifQ==</vt:lpwstr>
  </property>
</Properties>
</file>